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2" w:rsidRDefault="00AB7002" w:rsidP="00AB7002">
      <w:pPr>
        <w:rPr>
          <w:lang w:eastAsia="fr-FR"/>
        </w:rPr>
      </w:pPr>
      <w:r>
        <w:rPr>
          <w:noProof/>
          <w:lang w:eastAsia="fr-FR"/>
        </w:rPr>
        <w:drawing>
          <wp:inline distT="0" distB="0" distL="0" distR="0">
            <wp:extent cx="1777593" cy="848889"/>
            <wp:effectExtent l="0" t="0" r="0" b="8890"/>
            <wp:docPr id="3" name="Image 3" descr="LOGO_ECC-Net-LU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C-Net-LU_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935" cy="849052"/>
                    </a:xfrm>
                    <a:prstGeom prst="rect">
                      <a:avLst/>
                    </a:prstGeom>
                    <a:noFill/>
                    <a:ln>
                      <a:noFill/>
                    </a:ln>
                  </pic:spPr>
                </pic:pic>
              </a:graphicData>
            </a:graphic>
          </wp:inline>
        </w:drawing>
      </w:r>
    </w:p>
    <w:p w:rsidR="00AB7002" w:rsidRDefault="00AB7002" w:rsidP="00AB7002">
      <w:pPr>
        <w:rPr>
          <w:b/>
          <w:sz w:val="36"/>
          <w:szCs w:val="36"/>
          <w:lang w:val="lb-LU"/>
        </w:rPr>
      </w:pPr>
      <w:r w:rsidRPr="00D33EA6">
        <w:rPr>
          <w:b/>
          <w:sz w:val="36"/>
          <w:szCs w:val="36"/>
          <w:lang w:val="lb-LU"/>
        </w:rPr>
        <w:t>Pressemitteilung des Europäischen Verbraucherzentrums Luxemburg</w:t>
      </w:r>
      <w:r>
        <w:rPr>
          <w:b/>
          <w:sz w:val="36"/>
          <w:szCs w:val="36"/>
          <w:lang w:val="lb-LU"/>
        </w:rPr>
        <w:t xml:space="preserve"> GIE (CEC Luxembourg)</w:t>
      </w:r>
    </w:p>
    <w:p w:rsidR="006563B2" w:rsidRPr="006563B2" w:rsidRDefault="006563B2" w:rsidP="006563B2">
      <w:pPr>
        <w:pStyle w:val="Titre1"/>
        <w:rPr>
          <w:rFonts w:ascii="Calibri" w:eastAsia="Times New Roman" w:hAnsi="Calibri" w:cs="Calibri"/>
          <w:color w:val="auto"/>
          <w:kern w:val="36"/>
          <w:sz w:val="36"/>
          <w:szCs w:val="36"/>
          <w:lang w:val="de-DE" w:eastAsia="fr-FR"/>
        </w:rPr>
      </w:pPr>
      <w:r w:rsidRPr="006563B2">
        <w:rPr>
          <w:rFonts w:ascii="Calibri" w:eastAsia="Times New Roman" w:hAnsi="Calibri" w:cs="Calibri"/>
          <w:color w:val="auto"/>
          <w:kern w:val="36"/>
          <w:sz w:val="36"/>
          <w:szCs w:val="36"/>
          <w:lang w:val="de-DE" w:eastAsia="fr-FR"/>
        </w:rPr>
        <w:t>Insolvenz des Reiseveranstalters Thomas Cook</w:t>
      </w:r>
    </w:p>
    <w:p w:rsidR="0025444F" w:rsidRPr="008A3C0E" w:rsidRDefault="0025444F" w:rsidP="0025444F">
      <w:pPr>
        <w:spacing w:after="0" w:line="240" w:lineRule="auto"/>
        <w:rPr>
          <w:rFonts w:ascii="Calibri" w:eastAsia="Times New Roman" w:hAnsi="Calibri" w:cs="Calibri"/>
          <w:b/>
          <w:sz w:val="30"/>
          <w:szCs w:val="30"/>
          <w:lang w:val="de-DE" w:eastAsia="fr-FR"/>
        </w:rPr>
      </w:pPr>
      <w:r w:rsidRPr="008A3C0E">
        <w:rPr>
          <w:rFonts w:ascii="Calibri" w:eastAsia="Times New Roman" w:hAnsi="Calibri" w:cs="Calibri"/>
          <w:b/>
          <w:sz w:val="30"/>
          <w:szCs w:val="30"/>
          <w:lang w:val="de-DE" w:eastAsia="fr-FR"/>
        </w:rPr>
        <w:t>Das Europäische Verbraucherzentrum Luxemburg</w:t>
      </w:r>
      <w:r w:rsidR="009E2978">
        <w:rPr>
          <w:rFonts w:ascii="Calibri" w:eastAsia="Times New Roman" w:hAnsi="Calibri" w:cs="Calibri"/>
          <w:b/>
          <w:sz w:val="30"/>
          <w:szCs w:val="30"/>
          <w:lang w:val="de-DE" w:eastAsia="fr-FR"/>
        </w:rPr>
        <w:t xml:space="preserve"> (CEC)</w:t>
      </w:r>
      <w:r w:rsidRPr="008A3C0E">
        <w:rPr>
          <w:rFonts w:ascii="Calibri" w:eastAsia="Times New Roman" w:hAnsi="Calibri" w:cs="Calibri"/>
          <w:b/>
          <w:sz w:val="30"/>
          <w:szCs w:val="30"/>
          <w:lang w:val="de-DE" w:eastAsia="fr-FR"/>
        </w:rPr>
        <w:t xml:space="preserve"> informiert </w:t>
      </w:r>
      <w:r w:rsidR="009E2978" w:rsidRPr="009E2978">
        <w:rPr>
          <w:b/>
          <w:bCs/>
          <w:sz w:val="30"/>
          <w:szCs w:val="30"/>
          <w:lang w:val="de-DE"/>
        </w:rPr>
        <w:t>die Verbraucher</w:t>
      </w:r>
      <w:r w:rsidR="009E2978" w:rsidRPr="009E2978">
        <w:rPr>
          <w:b/>
          <w:bCs/>
          <w:lang w:val="de-DE"/>
        </w:rPr>
        <w:t xml:space="preserve"> </w:t>
      </w:r>
      <w:r w:rsidRPr="008A3C0E">
        <w:rPr>
          <w:rFonts w:ascii="Calibri" w:eastAsia="Times New Roman" w:hAnsi="Calibri" w:cs="Calibri"/>
          <w:b/>
          <w:sz w:val="30"/>
          <w:szCs w:val="30"/>
          <w:lang w:val="de-DE" w:eastAsia="fr-FR"/>
        </w:rPr>
        <w:t xml:space="preserve">über ihre Rechte </w:t>
      </w:r>
    </w:p>
    <w:p w:rsidR="0025444F" w:rsidRDefault="0025444F" w:rsidP="0025444F">
      <w:pPr>
        <w:spacing w:after="0" w:line="240" w:lineRule="auto"/>
        <w:rPr>
          <w:sz w:val="40"/>
          <w:szCs w:val="40"/>
          <w:lang w:val="de-DE"/>
        </w:rPr>
      </w:pPr>
    </w:p>
    <w:p w:rsidR="006563B2" w:rsidRPr="006563B2" w:rsidRDefault="006563B2" w:rsidP="006563B2">
      <w:pPr>
        <w:pStyle w:val="NormalWeb"/>
        <w:rPr>
          <w:rFonts w:ascii="Calibri" w:hAnsi="Calibri" w:cs="Calibri"/>
          <w:sz w:val="28"/>
          <w:szCs w:val="28"/>
          <w:lang w:val="de-DE"/>
        </w:rPr>
      </w:pPr>
      <w:r w:rsidRPr="006563B2">
        <w:rPr>
          <w:rFonts w:ascii="Calibri" w:hAnsi="Calibri" w:cs="Calibri"/>
          <w:sz w:val="28"/>
          <w:szCs w:val="28"/>
          <w:lang w:val="de-DE"/>
        </w:rPr>
        <w:t xml:space="preserve">Das CEC Luxembourg weist darauf hin, dass </w:t>
      </w:r>
      <w:r>
        <w:rPr>
          <w:rFonts w:ascii="Calibri" w:hAnsi="Calibri" w:cs="Calibri"/>
          <w:sz w:val="28"/>
          <w:szCs w:val="28"/>
          <w:lang w:val="de-DE"/>
        </w:rPr>
        <w:t xml:space="preserve">die europäische Pauschalreiserichtlinie </w:t>
      </w:r>
      <w:r w:rsidRPr="006563B2">
        <w:rPr>
          <w:rFonts w:ascii="Calibri" w:hAnsi="Calibri" w:cs="Calibri"/>
          <w:sz w:val="28"/>
          <w:szCs w:val="28"/>
          <w:lang w:val="de-DE"/>
        </w:rPr>
        <w:t>vorsieht, dass Touristen, die ihre Reise gebucht haben, einen Anspruch auf die Rückbeförderung haben, wenn sie sich bereits am Reiseziel befinden oder auf eine Rückerstattung, wenn sie noch nicht abgereist sind. Dieser Insolvenzschutz ist gesetzlich vorgesehen und schützt den Reisenden, ohne dass er bei der Buchung eine spezielle Versicherung abschließen muss.</w:t>
      </w:r>
    </w:p>
    <w:p w:rsidR="006563B2" w:rsidRPr="006563B2" w:rsidRDefault="006563B2" w:rsidP="006563B2">
      <w:pPr>
        <w:pStyle w:val="NormalWeb"/>
        <w:rPr>
          <w:rFonts w:ascii="Calibri" w:hAnsi="Calibri" w:cs="Calibri"/>
          <w:sz w:val="28"/>
          <w:szCs w:val="28"/>
          <w:lang w:val="de-DE"/>
        </w:rPr>
      </w:pPr>
      <w:r w:rsidRPr="006563B2">
        <w:rPr>
          <w:rFonts w:ascii="Calibri" w:hAnsi="Calibri" w:cs="Calibri"/>
          <w:sz w:val="28"/>
          <w:szCs w:val="28"/>
          <w:lang w:val="de-DE"/>
        </w:rPr>
        <w:t>Das CEC empfiehlt den Personen vor Ort, sich unverzüglich mit ihrem Reisebüro oder Reiseveranstalter in Verbindung zu setzen. Reisende, die lediglich Flugtickets von Thomas Cook gekauft haben, sind nicht versichert. Sie können sich an ihren Kreditkartenanbieter oder Versicherer wenden. Es können jedoch Vereinbarungen zwischen den Fluggesellschaften getroffen werden, um die Flüge durchzuführen.</w:t>
      </w:r>
    </w:p>
    <w:p w:rsidR="009E2978" w:rsidRPr="009E2978" w:rsidRDefault="009E2978" w:rsidP="009E2978">
      <w:pPr>
        <w:rPr>
          <w:sz w:val="28"/>
          <w:szCs w:val="28"/>
          <w:lang w:val="de-DE"/>
        </w:rPr>
      </w:pPr>
      <w:r w:rsidRPr="009E2978">
        <w:rPr>
          <w:sz w:val="28"/>
          <w:szCs w:val="28"/>
          <w:lang w:val="de-DE"/>
        </w:rPr>
        <w:t>Für weitere Informationen können Sie sich gerne an das CEC Luxembourg wenden.</w:t>
      </w:r>
    </w:p>
    <w:p w:rsidR="0025444F" w:rsidRDefault="0025444F" w:rsidP="0025444F">
      <w:pPr>
        <w:spacing w:after="0" w:line="256" w:lineRule="auto"/>
        <w:rPr>
          <w:rFonts w:ascii="Calibri" w:eastAsia="Times New Roman" w:hAnsi="Calibri" w:cs="Calibri"/>
          <w:sz w:val="28"/>
          <w:szCs w:val="28"/>
          <w:lang w:val="de-DE" w:eastAsia="fr-FR"/>
        </w:rPr>
      </w:pPr>
      <w:r w:rsidRPr="00AF4954">
        <w:rPr>
          <w:rFonts w:ascii="Calibri" w:eastAsia="Times New Roman" w:hAnsi="Calibri" w:cs="Calibri"/>
          <w:sz w:val="28"/>
          <w:szCs w:val="28"/>
          <w:lang w:val="de-DE" w:eastAsia="fr-FR"/>
        </w:rPr>
        <w:t xml:space="preserve">Das CEC Luxemburg ist Teil des Netzwerkes Europäischer Verbraucherzentren in der Europäischen Union sowie in Island und Norwegen. </w:t>
      </w:r>
      <w:r w:rsidRPr="00AF4954">
        <w:rPr>
          <w:rFonts w:ascii="Calibri" w:eastAsia="Calibri" w:hAnsi="Calibri" w:cs="Calibri"/>
          <w:sz w:val="28"/>
          <w:szCs w:val="28"/>
          <w:lang w:val="de-DE"/>
        </w:rPr>
        <w:t xml:space="preserve">Das EVZ ist </w:t>
      </w:r>
      <w:r w:rsidRPr="00AF4954">
        <w:rPr>
          <w:rFonts w:ascii="Calibri" w:eastAsia="Times New Roman" w:hAnsi="Calibri" w:cs="Calibri"/>
          <w:sz w:val="28"/>
          <w:szCs w:val="28"/>
          <w:lang w:val="de-DE" w:eastAsia="fr-FR"/>
        </w:rPr>
        <w:t xml:space="preserve">ein vom luxemburgischen Staat und von der Union </w:t>
      </w:r>
      <w:proofErr w:type="spellStart"/>
      <w:r w:rsidRPr="00AF4954">
        <w:rPr>
          <w:rFonts w:ascii="Calibri" w:eastAsia="Times New Roman" w:hAnsi="Calibri" w:cs="Calibri"/>
          <w:sz w:val="28"/>
          <w:szCs w:val="28"/>
          <w:lang w:val="de-DE" w:eastAsia="fr-FR"/>
        </w:rPr>
        <w:t>Luxembourgeoise</w:t>
      </w:r>
      <w:proofErr w:type="spellEnd"/>
      <w:r w:rsidRPr="00AF4954">
        <w:rPr>
          <w:rFonts w:ascii="Calibri" w:eastAsia="Times New Roman" w:hAnsi="Calibri" w:cs="Calibri"/>
          <w:sz w:val="28"/>
          <w:szCs w:val="28"/>
          <w:lang w:val="de-DE" w:eastAsia="fr-FR"/>
        </w:rPr>
        <w:t xml:space="preserve"> des </w:t>
      </w:r>
      <w:proofErr w:type="spellStart"/>
      <w:r w:rsidRPr="00AF4954">
        <w:rPr>
          <w:rFonts w:ascii="Calibri" w:eastAsia="Times New Roman" w:hAnsi="Calibri" w:cs="Calibri"/>
          <w:sz w:val="28"/>
          <w:szCs w:val="28"/>
          <w:lang w:val="de-DE" w:eastAsia="fr-FR"/>
        </w:rPr>
        <w:t>Consommateurs</w:t>
      </w:r>
      <w:proofErr w:type="spellEnd"/>
      <w:r w:rsidRPr="00AF4954">
        <w:rPr>
          <w:rFonts w:ascii="Calibri" w:eastAsia="Times New Roman" w:hAnsi="Calibri" w:cs="Calibri"/>
          <w:sz w:val="28"/>
          <w:szCs w:val="28"/>
          <w:lang w:val="de-DE" w:eastAsia="fr-FR"/>
        </w:rPr>
        <w:t xml:space="preserve"> gegründetes „</w:t>
      </w:r>
      <w:proofErr w:type="spellStart"/>
      <w:r w:rsidRPr="00AF4954">
        <w:rPr>
          <w:rFonts w:ascii="Calibri" w:eastAsia="Times New Roman" w:hAnsi="Calibri" w:cs="Calibri"/>
          <w:sz w:val="28"/>
          <w:szCs w:val="28"/>
          <w:lang w:val="de-DE" w:eastAsia="fr-FR"/>
        </w:rPr>
        <w:t>Groupement</w:t>
      </w:r>
      <w:proofErr w:type="spellEnd"/>
      <w:r w:rsidRPr="00AF4954">
        <w:rPr>
          <w:rFonts w:ascii="Calibri" w:eastAsia="Times New Roman" w:hAnsi="Calibri" w:cs="Calibri"/>
          <w:sz w:val="28"/>
          <w:szCs w:val="28"/>
          <w:lang w:val="de-DE" w:eastAsia="fr-FR"/>
        </w:rPr>
        <w:t xml:space="preserve"> </w:t>
      </w:r>
      <w:proofErr w:type="spellStart"/>
      <w:r w:rsidRPr="00AF4954">
        <w:rPr>
          <w:rFonts w:ascii="Calibri" w:eastAsia="Times New Roman" w:hAnsi="Calibri" w:cs="Calibri"/>
          <w:sz w:val="28"/>
          <w:szCs w:val="28"/>
          <w:lang w:val="de-DE" w:eastAsia="fr-FR"/>
        </w:rPr>
        <w:t>d’Intérêt</w:t>
      </w:r>
      <w:proofErr w:type="spellEnd"/>
      <w:r w:rsidRPr="00AF4954">
        <w:rPr>
          <w:rFonts w:ascii="Calibri" w:eastAsia="Times New Roman" w:hAnsi="Calibri" w:cs="Calibri"/>
          <w:sz w:val="28"/>
          <w:szCs w:val="28"/>
          <w:lang w:val="de-DE" w:eastAsia="fr-FR"/>
        </w:rPr>
        <w:t xml:space="preserve"> </w:t>
      </w:r>
      <w:proofErr w:type="spellStart"/>
      <w:r w:rsidRPr="00AF4954">
        <w:rPr>
          <w:rFonts w:ascii="Calibri" w:eastAsia="Times New Roman" w:hAnsi="Calibri" w:cs="Calibri"/>
          <w:sz w:val="28"/>
          <w:szCs w:val="28"/>
          <w:lang w:val="de-DE" w:eastAsia="fr-FR"/>
        </w:rPr>
        <w:t>économique</w:t>
      </w:r>
      <w:proofErr w:type="spellEnd"/>
      <w:r w:rsidRPr="00AF4954">
        <w:rPr>
          <w:rFonts w:ascii="Calibri" w:eastAsia="Times New Roman" w:hAnsi="Calibri" w:cs="Calibri"/>
          <w:sz w:val="28"/>
          <w:szCs w:val="28"/>
          <w:lang w:val="de-DE" w:eastAsia="fr-FR"/>
        </w:rPr>
        <w:t xml:space="preserve">“, das von der Europäischen Kommission unterstützt und mitfinanziert wird. </w:t>
      </w:r>
      <w:r w:rsidRPr="00AF4954">
        <w:rPr>
          <w:rFonts w:ascii="Calibri" w:eastAsia="Calibri" w:hAnsi="Calibri" w:cs="Calibri"/>
          <w:sz w:val="28"/>
          <w:szCs w:val="28"/>
          <w:lang w:val="de-DE"/>
        </w:rPr>
        <w:t xml:space="preserve">Unsere Dienstleistungen sind kostenfrei. </w:t>
      </w:r>
      <w:r w:rsidRPr="00AF4954">
        <w:rPr>
          <w:rFonts w:ascii="Calibri" w:eastAsia="Times New Roman" w:hAnsi="Calibri" w:cs="Calibri"/>
          <w:sz w:val="28"/>
          <w:szCs w:val="28"/>
          <w:lang w:val="de-DE" w:eastAsia="fr-FR"/>
        </w:rPr>
        <w:t xml:space="preserve">Das Zentrum ist wie folgt zu erreichen: 2A, Rue </w:t>
      </w:r>
      <w:proofErr w:type="spellStart"/>
      <w:r w:rsidRPr="00AF4954">
        <w:rPr>
          <w:rFonts w:ascii="Calibri" w:eastAsia="Times New Roman" w:hAnsi="Calibri" w:cs="Calibri"/>
          <w:sz w:val="28"/>
          <w:szCs w:val="28"/>
          <w:lang w:val="de-DE" w:eastAsia="fr-FR"/>
        </w:rPr>
        <w:t>Kalchesbrück</w:t>
      </w:r>
      <w:proofErr w:type="spellEnd"/>
      <w:r w:rsidRPr="00AF4954">
        <w:rPr>
          <w:rFonts w:ascii="Calibri" w:eastAsia="Times New Roman" w:hAnsi="Calibri" w:cs="Calibri"/>
          <w:sz w:val="28"/>
          <w:szCs w:val="28"/>
          <w:lang w:val="de-DE" w:eastAsia="fr-FR"/>
        </w:rPr>
        <w:t xml:space="preserve">, L-1852 Luxembourg, Tel. +352 26 84 64 - 1, Fax: +352 26 84 57 61, email: </w:t>
      </w:r>
      <w:hyperlink r:id="rId8" w:history="1">
        <w:r w:rsidRPr="00AF4954">
          <w:rPr>
            <w:rFonts w:ascii="Calibri" w:eastAsia="Times New Roman" w:hAnsi="Calibri" w:cs="Calibri"/>
            <w:color w:val="0563C1"/>
            <w:sz w:val="28"/>
            <w:szCs w:val="28"/>
            <w:u w:val="single"/>
            <w:lang w:val="de-DE" w:eastAsia="fr-FR"/>
          </w:rPr>
          <w:t>info@cecluxembourg.lu</w:t>
        </w:r>
      </w:hyperlink>
      <w:r>
        <w:rPr>
          <w:rFonts w:ascii="Calibri" w:eastAsia="Times New Roman" w:hAnsi="Calibri" w:cs="Calibri"/>
          <w:sz w:val="28"/>
          <w:szCs w:val="28"/>
          <w:lang w:val="de-DE" w:eastAsia="fr-FR"/>
        </w:rPr>
        <w:t>.</w:t>
      </w:r>
    </w:p>
    <w:p w:rsidR="0025444F" w:rsidRDefault="0025444F" w:rsidP="0025444F">
      <w:pPr>
        <w:spacing w:after="0" w:line="240" w:lineRule="auto"/>
        <w:rPr>
          <w:sz w:val="40"/>
          <w:szCs w:val="40"/>
          <w:lang w:val="de-DE"/>
        </w:rPr>
      </w:pPr>
    </w:p>
    <w:p w:rsidR="00A0074B" w:rsidRPr="0025444F" w:rsidRDefault="00A0074B" w:rsidP="00A0074B">
      <w:pPr>
        <w:spacing w:after="0" w:line="240" w:lineRule="auto"/>
        <w:rPr>
          <w:rFonts w:eastAsia="Times New Roman" w:cs="Calibri"/>
          <w:sz w:val="28"/>
          <w:szCs w:val="28"/>
          <w:lang w:val="de-DE" w:eastAsia="fr-FR"/>
        </w:rPr>
      </w:pPr>
      <w:r w:rsidRPr="0025444F">
        <w:rPr>
          <w:rFonts w:eastAsia="Times New Roman" w:cs="Calibri"/>
          <w:sz w:val="28"/>
          <w:szCs w:val="28"/>
          <w:lang w:val="de-DE" w:eastAsia="fr-FR"/>
        </w:rPr>
        <w:t xml:space="preserve">Luxemburg, </w:t>
      </w:r>
      <w:r w:rsidR="00AB7002" w:rsidRPr="0025444F">
        <w:rPr>
          <w:rFonts w:eastAsia="Times New Roman" w:cs="Calibri"/>
          <w:sz w:val="28"/>
          <w:szCs w:val="28"/>
          <w:lang w:val="de-DE" w:eastAsia="fr-FR"/>
        </w:rPr>
        <w:t xml:space="preserve">den </w:t>
      </w:r>
      <w:r w:rsidR="006563B2">
        <w:rPr>
          <w:rFonts w:eastAsia="Times New Roman" w:cs="Calibri"/>
          <w:sz w:val="28"/>
          <w:szCs w:val="28"/>
          <w:lang w:val="de-DE" w:eastAsia="fr-FR"/>
        </w:rPr>
        <w:t>24.</w:t>
      </w:r>
      <w:bookmarkStart w:id="0" w:name="_GoBack"/>
      <w:bookmarkEnd w:id="0"/>
      <w:r w:rsidR="00AB7002" w:rsidRPr="0025444F">
        <w:rPr>
          <w:rFonts w:eastAsia="Times New Roman" w:cs="Calibri"/>
          <w:sz w:val="28"/>
          <w:szCs w:val="28"/>
          <w:lang w:val="de-DE" w:eastAsia="fr-FR"/>
        </w:rPr>
        <w:t xml:space="preserve"> </w:t>
      </w:r>
      <w:r w:rsidR="0025444F">
        <w:rPr>
          <w:rFonts w:eastAsia="Times New Roman" w:cs="Calibri"/>
          <w:sz w:val="28"/>
          <w:szCs w:val="28"/>
          <w:lang w:val="de-DE" w:eastAsia="fr-FR"/>
        </w:rPr>
        <w:t>September</w:t>
      </w:r>
      <w:r w:rsidRPr="0025444F">
        <w:rPr>
          <w:rFonts w:eastAsia="Times New Roman" w:cs="Calibri"/>
          <w:sz w:val="28"/>
          <w:szCs w:val="28"/>
          <w:lang w:val="de-DE" w:eastAsia="fr-FR"/>
        </w:rPr>
        <w:t xml:space="preserve"> 2019</w:t>
      </w:r>
    </w:p>
    <w:p w:rsidR="00A0074B" w:rsidRDefault="00A0074B" w:rsidP="00A0074B">
      <w:pPr>
        <w:spacing w:after="0" w:line="240" w:lineRule="auto"/>
        <w:rPr>
          <w:rFonts w:ascii="Arial" w:hAnsi="Arial" w:cs="Arial"/>
          <w:sz w:val="24"/>
          <w:szCs w:val="24"/>
          <w:lang w:val="lb-LU"/>
        </w:rPr>
      </w:pPr>
    </w:p>
    <w:p w:rsidR="001A6024" w:rsidRPr="00506C56" w:rsidRDefault="002C730C" w:rsidP="008D41EE">
      <w:r>
        <w:rPr>
          <w:rFonts w:ascii="Arial" w:hAnsi="Arial" w:cs="Arial"/>
          <w:noProof/>
          <w:sz w:val="24"/>
          <w:szCs w:val="24"/>
          <w:lang w:eastAsia="fr-FR"/>
        </w:rPr>
        <w:drawing>
          <wp:anchor distT="0" distB="0" distL="114300" distR="114300" simplePos="0" relativeHeight="251659264" behindDoc="0" locked="0" layoutInCell="1" allowOverlap="1" wp14:anchorId="6C9CA3FB" wp14:editId="504BC972">
            <wp:simplePos x="0" y="0"/>
            <wp:positionH relativeFrom="column">
              <wp:posOffset>-8890</wp:posOffset>
            </wp:positionH>
            <wp:positionV relativeFrom="paragraph">
              <wp:posOffset>10795</wp:posOffset>
            </wp:positionV>
            <wp:extent cx="1590040" cy="4286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040" cy="428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6024" w:rsidRPr="00506C56" w:rsidSect="002C730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34F"/>
    <w:multiLevelType w:val="hybridMultilevel"/>
    <w:tmpl w:val="203E4BE6"/>
    <w:lvl w:ilvl="0" w:tplc="6774673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9987D54"/>
    <w:multiLevelType w:val="hybridMultilevel"/>
    <w:tmpl w:val="9F8AE2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9D34C0"/>
    <w:multiLevelType w:val="hybridMultilevel"/>
    <w:tmpl w:val="D80CD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8830E3"/>
    <w:multiLevelType w:val="hybridMultilevel"/>
    <w:tmpl w:val="835C0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986E72"/>
    <w:multiLevelType w:val="hybridMultilevel"/>
    <w:tmpl w:val="8FCAC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56"/>
    <w:rsid w:val="001A6024"/>
    <w:rsid w:val="00235ED5"/>
    <w:rsid w:val="0025444F"/>
    <w:rsid w:val="002C4CC7"/>
    <w:rsid w:val="002C730C"/>
    <w:rsid w:val="002D7DA9"/>
    <w:rsid w:val="00312B14"/>
    <w:rsid w:val="003179B2"/>
    <w:rsid w:val="00336544"/>
    <w:rsid w:val="003C06C0"/>
    <w:rsid w:val="004C1BEC"/>
    <w:rsid w:val="004C7D2C"/>
    <w:rsid w:val="004F36E2"/>
    <w:rsid w:val="00506C56"/>
    <w:rsid w:val="00524B8E"/>
    <w:rsid w:val="00554287"/>
    <w:rsid w:val="00595D89"/>
    <w:rsid w:val="0061522D"/>
    <w:rsid w:val="006563B2"/>
    <w:rsid w:val="00656D63"/>
    <w:rsid w:val="007726B7"/>
    <w:rsid w:val="00805787"/>
    <w:rsid w:val="008A3C0E"/>
    <w:rsid w:val="008D41EE"/>
    <w:rsid w:val="00977FB8"/>
    <w:rsid w:val="009E2978"/>
    <w:rsid w:val="00A0074B"/>
    <w:rsid w:val="00AB7002"/>
    <w:rsid w:val="00BC5316"/>
    <w:rsid w:val="00C064BF"/>
    <w:rsid w:val="00C07660"/>
    <w:rsid w:val="00C54ACB"/>
    <w:rsid w:val="00D350DB"/>
    <w:rsid w:val="00D85858"/>
    <w:rsid w:val="00E46085"/>
    <w:rsid w:val="00E94419"/>
    <w:rsid w:val="00ED7BBA"/>
    <w:rsid w:val="00EF65A3"/>
    <w:rsid w:val="00F85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D4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6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6C5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06C56"/>
    <w:pPr>
      <w:ind w:left="720"/>
      <w:contextualSpacing/>
    </w:pPr>
  </w:style>
  <w:style w:type="character" w:customStyle="1" w:styleId="Titre1Car">
    <w:name w:val="Titre 1 Car"/>
    <w:basedOn w:val="Policepardfaut"/>
    <w:link w:val="Titre1"/>
    <w:uiPriority w:val="9"/>
    <w:rsid w:val="008D41E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A6024"/>
    <w:rPr>
      <w:color w:val="0000FF" w:themeColor="hyperlink"/>
      <w:u w:val="single"/>
    </w:rPr>
  </w:style>
  <w:style w:type="paragraph" w:styleId="Textedebulles">
    <w:name w:val="Balloon Text"/>
    <w:basedOn w:val="Normal"/>
    <w:link w:val="TextedebullesCar"/>
    <w:uiPriority w:val="99"/>
    <w:semiHidden/>
    <w:unhideWhenUsed/>
    <w:rsid w:val="00BC5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316"/>
    <w:rPr>
      <w:rFonts w:ascii="Tahoma" w:hAnsi="Tahoma" w:cs="Tahoma"/>
      <w:sz w:val="16"/>
      <w:szCs w:val="16"/>
    </w:rPr>
  </w:style>
  <w:style w:type="paragraph" w:styleId="NormalWeb">
    <w:name w:val="Normal (Web)"/>
    <w:basedOn w:val="Normal"/>
    <w:uiPriority w:val="99"/>
    <w:semiHidden/>
    <w:unhideWhenUsed/>
    <w:rsid w:val="006563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D4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6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6C5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06C56"/>
    <w:pPr>
      <w:ind w:left="720"/>
      <w:contextualSpacing/>
    </w:pPr>
  </w:style>
  <w:style w:type="character" w:customStyle="1" w:styleId="Titre1Car">
    <w:name w:val="Titre 1 Car"/>
    <w:basedOn w:val="Policepardfaut"/>
    <w:link w:val="Titre1"/>
    <w:uiPriority w:val="9"/>
    <w:rsid w:val="008D41E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A6024"/>
    <w:rPr>
      <w:color w:val="0000FF" w:themeColor="hyperlink"/>
      <w:u w:val="single"/>
    </w:rPr>
  </w:style>
  <w:style w:type="paragraph" w:styleId="Textedebulles">
    <w:name w:val="Balloon Text"/>
    <w:basedOn w:val="Normal"/>
    <w:link w:val="TextedebullesCar"/>
    <w:uiPriority w:val="99"/>
    <w:semiHidden/>
    <w:unhideWhenUsed/>
    <w:rsid w:val="00BC5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316"/>
    <w:rPr>
      <w:rFonts w:ascii="Tahoma" w:hAnsi="Tahoma" w:cs="Tahoma"/>
      <w:sz w:val="16"/>
      <w:szCs w:val="16"/>
    </w:rPr>
  </w:style>
  <w:style w:type="paragraph" w:styleId="NormalWeb">
    <w:name w:val="Normal (Web)"/>
    <w:basedOn w:val="Normal"/>
    <w:uiPriority w:val="99"/>
    <w:semiHidden/>
    <w:unhideWhenUsed/>
    <w:rsid w:val="006563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17661">
      <w:bodyDiv w:val="1"/>
      <w:marLeft w:val="0"/>
      <w:marRight w:val="0"/>
      <w:marTop w:val="0"/>
      <w:marBottom w:val="0"/>
      <w:divBdr>
        <w:top w:val="none" w:sz="0" w:space="0" w:color="auto"/>
        <w:left w:val="none" w:sz="0" w:space="0" w:color="auto"/>
        <w:bottom w:val="none" w:sz="0" w:space="0" w:color="auto"/>
        <w:right w:val="none" w:sz="0" w:space="0" w:color="auto"/>
      </w:divBdr>
    </w:div>
    <w:div w:id="969742910">
      <w:bodyDiv w:val="1"/>
      <w:marLeft w:val="0"/>
      <w:marRight w:val="0"/>
      <w:marTop w:val="0"/>
      <w:marBottom w:val="0"/>
      <w:divBdr>
        <w:top w:val="none" w:sz="0" w:space="0" w:color="auto"/>
        <w:left w:val="none" w:sz="0" w:space="0" w:color="auto"/>
        <w:bottom w:val="none" w:sz="0" w:space="0" w:color="auto"/>
        <w:right w:val="none" w:sz="0" w:space="0" w:color="auto"/>
      </w:divBdr>
    </w:div>
    <w:div w:id="1350838054">
      <w:bodyDiv w:val="1"/>
      <w:marLeft w:val="0"/>
      <w:marRight w:val="0"/>
      <w:marTop w:val="0"/>
      <w:marBottom w:val="0"/>
      <w:divBdr>
        <w:top w:val="none" w:sz="0" w:space="0" w:color="auto"/>
        <w:left w:val="none" w:sz="0" w:space="0" w:color="auto"/>
        <w:bottom w:val="none" w:sz="0" w:space="0" w:color="auto"/>
        <w:right w:val="none" w:sz="0" w:space="0" w:color="auto"/>
      </w:divBdr>
    </w:div>
    <w:div w:id="1573612979">
      <w:bodyDiv w:val="1"/>
      <w:marLeft w:val="0"/>
      <w:marRight w:val="0"/>
      <w:marTop w:val="0"/>
      <w:marBottom w:val="0"/>
      <w:divBdr>
        <w:top w:val="none" w:sz="0" w:space="0" w:color="auto"/>
        <w:left w:val="none" w:sz="0" w:space="0" w:color="auto"/>
        <w:bottom w:val="none" w:sz="0" w:space="0" w:color="auto"/>
        <w:right w:val="none" w:sz="0" w:space="0" w:color="auto"/>
      </w:divBdr>
    </w:div>
    <w:div w:id="1575821191">
      <w:bodyDiv w:val="1"/>
      <w:marLeft w:val="0"/>
      <w:marRight w:val="0"/>
      <w:marTop w:val="0"/>
      <w:marBottom w:val="0"/>
      <w:divBdr>
        <w:top w:val="none" w:sz="0" w:space="0" w:color="auto"/>
        <w:left w:val="none" w:sz="0" w:space="0" w:color="auto"/>
        <w:bottom w:val="none" w:sz="0" w:space="0" w:color="auto"/>
        <w:right w:val="none" w:sz="0" w:space="0" w:color="auto"/>
      </w:divBdr>
    </w:div>
    <w:div w:id="16762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cluxembourg.l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AE45-593C-42FC-83D8-57C49021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1502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FigutI</cp:lastModifiedBy>
  <cp:revision>6</cp:revision>
  <cp:lastPrinted>2019-09-12T08:05:00Z</cp:lastPrinted>
  <dcterms:created xsi:type="dcterms:W3CDTF">2019-09-11T08:10:00Z</dcterms:created>
  <dcterms:modified xsi:type="dcterms:W3CDTF">2019-09-23T13:03:00Z</dcterms:modified>
</cp:coreProperties>
</file>