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8C7EFB" w14:textId="77777777" w:rsidR="00895154" w:rsidRDefault="00895154">
      <w:pPr>
        <w:rPr>
          <w:b/>
          <w:sz w:val="36"/>
          <w:szCs w:val="36"/>
        </w:rPr>
      </w:pPr>
      <w:r w:rsidRPr="0054613F"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67F5DF7" wp14:editId="7F44A06C">
            <wp:simplePos x="0" y="0"/>
            <wp:positionH relativeFrom="column">
              <wp:posOffset>3252470</wp:posOffset>
            </wp:positionH>
            <wp:positionV relativeFrom="paragraph">
              <wp:posOffset>-337820</wp:posOffset>
            </wp:positionV>
            <wp:extent cx="2814955" cy="954622"/>
            <wp:effectExtent l="0" t="0" r="4445" b="10795"/>
            <wp:wrapNone/>
            <wp:docPr id="2" name="Picture 2" descr="meng-landwirtschaft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ng-landwirtschaft-logo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14955" cy="9546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F05479" w14:textId="77777777" w:rsidR="00895154" w:rsidRDefault="00895154">
      <w:pPr>
        <w:rPr>
          <w:b/>
          <w:sz w:val="36"/>
          <w:szCs w:val="36"/>
        </w:rPr>
      </w:pPr>
    </w:p>
    <w:p w14:paraId="74E5985F" w14:textId="77777777" w:rsidR="00895154" w:rsidRDefault="00895154">
      <w:pPr>
        <w:rPr>
          <w:b/>
          <w:sz w:val="36"/>
          <w:szCs w:val="36"/>
        </w:rPr>
      </w:pPr>
    </w:p>
    <w:p w14:paraId="27135C5D" w14:textId="77777777" w:rsidR="00895154" w:rsidRDefault="00895154">
      <w:pPr>
        <w:rPr>
          <w:b/>
          <w:sz w:val="36"/>
          <w:szCs w:val="36"/>
        </w:rPr>
      </w:pPr>
    </w:p>
    <w:p w14:paraId="2CCB2C56" w14:textId="77777777" w:rsidR="00E86036" w:rsidRDefault="00E03A60">
      <w:r>
        <w:rPr>
          <w:b/>
          <w:sz w:val="36"/>
          <w:szCs w:val="36"/>
        </w:rPr>
        <w:t>Pressemitteilung</w:t>
      </w:r>
    </w:p>
    <w:p w14:paraId="09709CD6" w14:textId="77777777" w:rsidR="00E86036" w:rsidRDefault="00E03A60">
      <w:r>
        <w:rPr>
          <w:b/>
          <w:sz w:val="28"/>
          <w:szCs w:val="28"/>
        </w:rPr>
        <w:t xml:space="preserve"> </w:t>
      </w:r>
    </w:p>
    <w:p w14:paraId="11F36E96" w14:textId="4DE23E2D" w:rsidR="00895154" w:rsidRDefault="00E03A60">
      <w:pPr>
        <w:rPr>
          <w:b/>
        </w:rPr>
      </w:pPr>
      <w:r>
        <w:rPr>
          <w:b/>
          <w:sz w:val="28"/>
          <w:szCs w:val="28"/>
        </w:rPr>
        <w:t>Stellungnahme zur neuen Gemeinsamen Agrarpolitik der EU (GAP)</w:t>
      </w:r>
    </w:p>
    <w:p w14:paraId="42E62491" w14:textId="77777777" w:rsidR="00895154" w:rsidRDefault="00895154"/>
    <w:p w14:paraId="1215B1BC" w14:textId="77777777" w:rsidR="00E86036" w:rsidRDefault="00E86036" w:rsidP="006831EB">
      <w:pPr>
        <w:rPr>
          <w:b/>
        </w:rPr>
      </w:pPr>
    </w:p>
    <w:p w14:paraId="655031B7" w14:textId="5A972469" w:rsidR="00E86036" w:rsidRPr="006831EB" w:rsidRDefault="00E03A60">
      <w:pPr>
        <w:jc w:val="both"/>
        <w:rPr>
          <w:sz w:val="24"/>
          <w:szCs w:val="24"/>
        </w:rPr>
      </w:pPr>
      <w:r w:rsidRPr="006831EB">
        <w:rPr>
          <w:b/>
          <w:sz w:val="24"/>
          <w:szCs w:val="24"/>
        </w:rPr>
        <w:t>EU-Agrarreform: Auf EU-Ebene gescheitert, in Luxemburg noch retten, was zu retten ist.</w:t>
      </w:r>
    </w:p>
    <w:p w14:paraId="50903111" w14:textId="77777777" w:rsidR="00E86036" w:rsidRDefault="00E86036">
      <w:pPr>
        <w:jc w:val="both"/>
      </w:pPr>
    </w:p>
    <w:p w14:paraId="46B72F1E" w14:textId="12E25B04" w:rsidR="00E86036" w:rsidRDefault="00E03A60">
      <w:pPr>
        <w:jc w:val="both"/>
      </w:pPr>
      <w:r>
        <w:rPr>
          <w:b/>
        </w:rPr>
        <w:t xml:space="preserve">Luxemburg, </w:t>
      </w:r>
      <w:r w:rsidR="00EF5AA2">
        <w:rPr>
          <w:b/>
        </w:rPr>
        <w:t>den</w:t>
      </w:r>
      <w:r w:rsidR="00EF5AA2">
        <w:rPr>
          <w:b/>
        </w:rPr>
        <w:t xml:space="preserve"> </w:t>
      </w:r>
      <w:r>
        <w:rPr>
          <w:b/>
        </w:rPr>
        <w:t>28. Juni 2021.</w:t>
      </w:r>
      <w:r>
        <w:t xml:space="preserve"> Nach monatelangen Verhandlungen und mit einem Jahr Verspätung </w:t>
      </w:r>
      <w:r>
        <w:rPr>
          <w:color w:val="111111"/>
        </w:rPr>
        <w:t>konnte zwischen EU-Parlament, Ministerrat und Kommission ein Kompromiss gefunden werden, wie die 385 Milliarden öffentliche Gelder für die nächste Agrarperiode 202</w:t>
      </w:r>
      <w:r w:rsidR="00730745">
        <w:rPr>
          <w:color w:val="111111"/>
        </w:rPr>
        <w:t>1</w:t>
      </w:r>
      <w:r>
        <w:rPr>
          <w:color w:val="111111"/>
        </w:rPr>
        <w:t>-2027 ausgegeben werden sollen. Umwelt- und kritische Agrarverbänd</w:t>
      </w:r>
      <w:r w:rsidR="001673EB">
        <w:rPr>
          <w:color w:val="111111"/>
        </w:rPr>
        <w:t>e können nur enttäuscht sein von</w:t>
      </w:r>
      <w:r>
        <w:rPr>
          <w:color w:val="111111"/>
        </w:rPr>
        <w:t xml:space="preserve"> dem Resultat. </w:t>
      </w:r>
      <w:r>
        <w:t xml:space="preserve">Es hätte besser ausgehen können, </w:t>
      </w:r>
      <w:r w:rsidR="001673EB">
        <w:t>aber</w:t>
      </w:r>
      <w:r>
        <w:t xml:space="preserve"> die EU-Agrarminister</w:t>
      </w:r>
      <w:r w:rsidR="001673EB">
        <w:t xml:space="preserve"> und</w:t>
      </w:r>
      <w:r>
        <w:t xml:space="preserve"> auch viele EU-Abgeordnete haben zukunftssichernde und ambitionierte Maßnahmen, Standards und Ziele mit Füßen getreten und verwässert. Dies ist eher eine ernste und traurige Angelegenheit im Hinblick auf </w:t>
      </w:r>
      <w:r w:rsidR="00A56A9B">
        <w:t>die</w:t>
      </w:r>
      <w:r w:rsidR="00A56A9B">
        <w:t xml:space="preserve"> </w:t>
      </w:r>
      <w:r>
        <w:t>Zielsetzungen des EU-Green Deals mit klaren Vorgaben zu Klimaschutz, Biodiversität und nachhaltiger Wirtschaft.</w:t>
      </w:r>
    </w:p>
    <w:p w14:paraId="7C9778D9" w14:textId="77777777" w:rsidR="00E86036" w:rsidRDefault="00E86036">
      <w:pPr>
        <w:jc w:val="both"/>
        <w:rPr>
          <w:color w:val="111111"/>
        </w:rPr>
      </w:pPr>
    </w:p>
    <w:p w14:paraId="5A040CB3" w14:textId="18A5BC33" w:rsidR="00E86036" w:rsidRDefault="00E03A60">
      <w:pPr>
        <w:jc w:val="both"/>
      </w:pPr>
      <w:r>
        <w:rPr>
          <w:color w:val="111111"/>
        </w:rPr>
        <w:t xml:space="preserve">Direktzahlungen über Flächenprämien (291 Milliarden </w:t>
      </w:r>
      <w:r w:rsidR="00A56A9B">
        <w:rPr>
          <w:color w:val="111111"/>
        </w:rPr>
        <w:t xml:space="preserve">der </w:t>
      </w:r>
      <w:r>
        <w:rPr>
          <w:color w:val="111111"/>
        </w:rPr>
        <w:t>1. Säule) bleiben weitgehend bestehen, nur 25% der Auszahlungen sind an sogenannte Eco-Schemes (Ökoprogramme) gebunden, die dann auch noch durch Sonderregelungen reduziert werden können. Die ersten beiden Testjahre sehen nur 20% vor. Das EU-Parlament hatte 30% vorgeschlagen</w:t>
      </w:r>
      <w:r w:rsidR="00850933">
        <w:rPr>
          <w:color w:val="111111"/>
        </w:rPr>
        <w:t xml:space="preserve"> und</w:t>
      </w:r>
      <w:r>
        <w:rPr>
          <w:color w:val="111111"/>
        </w:rPr>
        <w:t xml:space="preserve"> ohne Testphase. Die Höhe der Subvention hängt demnach wieder von der Grö</w:t>
      </w:r>
      <w:r w:rsidR="001673EB">
        <w:rPr>
          <w:color w:val="111111"/>
        </w:rPr>
        <w:t>ß</w:t>
      </w:r>
      <w:r>
        <w:rPr>
          <w:color w:val="111111"/>
        </w:rPr>
        <w:t>e des Betriebes ab. Es steht auch noch nicht fest, welche ökologische Leistungen die Bauern hierfür erbringen müssen. Wie diese Ökoprogramme ausgestaltet werden sollen, bleibt letztlich den EU-Staaten überlassen.</w:t>
      </w:r>
    </w:p>
    <w:p w14:paraId="68681035" w14:textId="7AA64D20" w:rsidR="00E86036" w:rsidRDefault="00E03A60">
      <w:pPr>
        <w:shd w:val="clear" w:color="auto" w:fill="FFFFFF"/>
        <w:jc w:val="both"/>
      </w:pPr>
      <w:r>
        <w:rPr>
          <w:color w:val="111111"/>
        </w:rPr>
        <w:t xml:space="preserve">Das restliche Geld wird über die sogenannte zweite Säule für Programme zur Förderung des ländlichen Raums ausgegeben. Darunter fallen </w:t>
      </w:r>
      <w:r w:rsidR="001673EB">
        <w:rPr>
          <w:color w:val="111111"/>
        </w:rPr>
        <w:t>Biolandwirtschaft, sowie</w:t>
      </w:r>
      <w:r>
        <w:rPr>
          <w:color w:val="111111"/>
        </w:rPr>
        <w:t xml:space="preserve"> Umwelt- und Klimaschutz</w:t>
      </w:r>
      <w:r w:rsidR="001673EB">
        <w:rPr>
          <w:color w:val="111111"/>
        </w:rPr>
        <w:t xml:space="preserve">maßnahmen </w:t>
      </w:r>
      <w:r>
        <w:rPr>
          <w:color w:val="111111"/>
        </w:rPr>
        <w:t>, die dann ab 2023 gelten sollen.</w:t>
      </w:r>
    </w:p>
    <w:p w14:paraId="7B42B1A5" w14:textId="58FDA3C8" w:rsidR="00E86036" w:rsidRDefault="00E03A60">
      <w:pPr>
        <w:jc w:val="both"/>
      </w:pPr>
      <w:r>
        <w:rPr>
          <w:color w:val="111111"/>
        </w:rPr>
        <w:t xml:space="preserve">Der verkündete Erfolg für mehr Ökologie und Klimaschutz wird mit diesen angekündigten Maßnahmen </w:t>
      </w:r>
      <w:r w:rsidR="001673EB">
        <w:rPr>
          <w:color w:val="111111"/>
        </w:rPr>
        <w:t xml:space="preserve">sicherlich </w:t>
      </w:r>
      <w:r w:rsidR="00262DF7">
        <w:rPr>
          <w:color w:val="111111"/>
        </w:rPr>
        <w:t>nicht eintreten.</w:t>
      </w:r>
      <w:r>
        <w:rPr>
          <w:color w:val="111111"/>
        </w:rPr>
        <w:t xml:space="preserve"> </w:t>
      </w:r>
      <w:r w:rsidR="00262DF7">
        <w:rPr>
          <w:color w:val="111111"/>
        </w:rPr>
        <w:t>Man hat versagt, genauso</w:t>
      </w:r>
      <w:r w:rsidR="001673EB">
        <w:rPr>
          <w:color w:val="111111"/>
        </w:rPr>
        <w:t xml:space="preserve"> </w:t>
      </w:r>
      <w:r>
        <w:rPr>
          <w:color w:val="111111"/>
        </w:rPr>
        <w:t xml:space="preserve">wie bei den </w:t>
      </w:r>
      <w:r w:rsidR="00262DF7">
        <w:rPr>
          <w:color w:val="111111"/>
        </w:rPr>
        <w:t>vergangenen</w:t>
      </w:r>
      <w:r>
        <w:rPr>
          <w:color w:val="111111"/>
        </w:rPr>
        <w:t xml:space="preserve"> </w:t>
      </w:r>
      <w:r w:rsidRPr="00262DF7">
        <w:rPr>
          <w:i/>
          <w:color w:val="111111"/>
        </w:rPr>
        <w:t>Reformen</w:t>
      </w:r>
      <w:r>
        <w:rPr>
          <w:color w:val="111111"/>
        </w:rPr>
        <w:t>. Die Stärksten am Markt werden sich weiterhin behau</w:t>
      </w:r>
      <w:r>
        <w:rPr>
          <w:color w:val="111111"/>
        </w:rPr>
        <w:t xml:space="preserve">pten können zu Lasten der Kleineren. Es gibt keine klaren Bekenntnisse zu mehr Bio-Landbau, zu mehr Fruchtfolge, mehr Biodiversität, mehr Wasserschutz, mehr Erhalt von kleineren und mittelständigen Familienbetrieben, </w:t>
      </w:r>
      <w:r w:rsidR="001673EB">
        <w:rPr>
          <w:color w:val="111111"/>
        </w:rPr>
        <w:t xml:space="preserve">zu </w:t>
      </w:r>
      <w:r>
        <w:rPr>
          <w:color w:val="111111"/>
        </w:rPr>
        <w:t>bessere</w:t>
      </w:r>
      <w:r w:rsidR="001673EB">
        <w:rPr>
          <w:color w:val="111111"/>
        </w:rPr>
        <w:t>n</w:t>
      </w:r>
      <w:r>
        <w:rPr>
          <w:color w:val="111111"/>
        </w:rPr>
        <w:t xml:space="preserve"> soziale</w:t>
      </w:r>
      <w:r w:rsidR="001673EB">
        <w:rPr>
          <w:color w:val="111111"/>
        </w:rPr>
        <w:t>n</w:t>
      </w:r>
      <w:r>
        <w:rPr>
          <w:color w:val="111111"/>
        </w:rPr>
        <w:t xml:space="preserve"> Bedingungen für Arbeiter in der Landwirtschaft, u.a.. Dabei besteht seitens der EU-Kommission mit dem Green Deal eine klare Vorgabe</w:t>
      </w:r>
      <w:r w:rsidR="001673EB">
        <w:rPr>
          <w:color w:val="111111"/>
        </w:rPr>
        <w:t>,</w:t>
      </w:r>
      <w:r>
        <w:rPr>
          <w:color w:val="111111"/>
        </w:rPr>
        <w:t xml:space="preserve"> </w:t>
      </w:r>
      <w:r w:rsidR="001673EB">
        <w:rPr>
          <w:color w:val="111111"/>
        </w:rPr>
        <w:t>um</w:t>
      </w:r>
      <w:r>
        <w:rPr>
          <w:color w:val="111111"/>
        </w:rPr>
        <w:t xml:space="preserve"> die Landwirtschaft klimagerechter zu machen. </w:t>
      </w:r>
      <w:r>
        <w:rPr>
          <w:color w:val="111111"/>
          <w:shd w:val="clear" w:color="auto" w:fill="FFFFFF"/>
        </w:rPr>
        <w:t xml:space="preserve">Der EU-Rechnungshof hatte vor wenigen Tagen einen Bericht veröffentlicht, wonach die 100 Milliarden Euro der letzten Periode, die für den Klimaschutz bestimmt </w:t>
      </w:r>
      <w:r>
        <w:rPr>
          <w:color w:val="111111"/>
          <w:shd w:val="clear" w:color="auto" w:fill="FFFFFF"/>
        </w:rPr>
        <w:t xml:space="preserve">waren, nicht dazu geführt haben, dass </w:t>
      </w:r>
      <w:r>
        <w:rPr>
          <w:color w:val="111111"/>
          <w:shd w:val="clear" w:color="auto" w:fill="FFFFFF"/>
        </w:rPr>
        <w:t>die Landwirtschaft klimafreundlicher geworden sei. Ein Bericht des letzten Jahres hatte auch einen gro</w:t>
      </w:r>
      <w:r w:rsidR="001673EB">
        <w:rPr>
          <w:color w:val="111111"/>
          <w:shd w:val="clear" w:color="auto" w:fill="FFFFFF"/>
        </w:rPr>
        <w:t>ß</w:t>
      </w:r>
      <w:r>
        <w:rPr>
          <w:color w:val="111111"/>
          <w:shd w:val="clear" w:color="auto" w:fill="FFFFFF"/>
        </w:rPr>
        <w:t>en Misserfolg bei den Biodiversitätsprogrammen ausgewiesen.</w:t>
      </w:r>
      <w:r w:rsidR="001673EB">
        <w:rPr>
          <w:color w:val="111111"/>
          <w:shd w:val="clear" w:color="auto" w:fill="FFFFFF"/>
        </w:rPr>
        <w:t xml:space="preserve"> </w:t>
      </w:r>
      <w:r w:rsidR="00DF1120">
        <w:rPr>
          <w:color w:val="111111"/>
          <w:shd w:val="clear" w:color="auto" w:fill="FFFFFF"/>
        </w:rPr>
        <w:t>M</w:t>
      </w:r>
      <w:r w:rsidR="001673EB">
        <w:rPr>
          <w:color w:val="111111"/>
          <w:shd w:val="clear" w:color="auto" w:fill="FFFFFF"/>
        </w:rPr>
        <w:t xml:space="preserve">it dieser </w:t>
      </w:r>
      <w:r w:rsidR="006521A7">
        <w:rPr>
          <w:color w:val="111111"/>
          <w:shd w:val="clear" w:color="auto" w:fill="FFFFFF"/>
        </w:rPr>
        <w:t>G</w:t>
      </w:r>
      <w:r w:rsidR="001673EB">
        <w:rPr>
          <w:color w:val="111111"/>
          <w:shd w:val="clear" w:color="auto" w:fill="FFFFFF"/>
        </w:rPr>
        <w:t xml:space="preserve">AP </w:t>
      </w:r>
      <w:r w:rsidR="00DF1120">
        <w:rPr>
          <w:color w:val="111111"/>
          <w:shd w:val="clear" w:color="auto" w:fill="FFFFFF"/>
        </w:rPr>
        <w:t xml:space="preserve">wird </w:t>
      </w:r>
      <w:r w:rsidR="001673EB">
        <w:rPr>
          <w:color w:val="111111"/>
          <w:shd w:val="clear" w:color="auto" w:fill="FFFFFF"/>
        </w:rPr>
        <w:t xml:space="preserve">keine Agrarwende herbeigeführt, sondern es wird weitere 7 Jahre „Business as usual“ geben. Sieben </w:t>
      </w:r>
      <w:r w:rsidR="001673EB">
        <w:rPr>
          <w:color w:val="111111"/>
          <w:shd w:val="clear" w:color="auto" w:fill="FFFFFF"/>
        </w:rPr>
        <w:lastRenderedPageBreak/>
        <w:t>weitere verlorene Jahre für die Gestaltung einer resilienten</w:t>
      </w:r>
      <w:r w:rsidR="00DF1120">
        <w:rPr>
          <w:color w:val="111111"/>
          <w:shd w:val="clear" w:color="auto" w:fill="FFFFFF"/>
        </w:rPr>
        <w:t xml:space="preserve"> und</w:t>
      </w:r>
      <w:r w:rsidR="001673EB">
        <w:rPr>
          <w:color w:val="111111"/>
          <w:shd w:val="clear" w:color="auto" w:fill="FFFFFF"/>
        </w:rPr>
        <w:t xml:space="preserve"> biologisch ausgerichteten Landwirtschaft.</w:t>
      </w:r>
    </w:p>
    <w:p w14:paraId="48A5F277" w14:textId="5FE70494" w:rsidR="00E86036" w:rsidRDefault="00E03A60">
      <w:pPr>
        <w:jc w:val="both"/>
      </w:pPr>
      <w:r>
        <w:t>Welche Position Luxemburg bei den Verhandlungen eingenommen hat, ist uns im Detail nicht bekannt</w:t>
      </w:r>
      <w:r w:rsidR="00895154">
        <w:t>;</w:t>
      </w:r>
      <w:r>
        <w:t xml:space="preserve"> der S</w:t>
      </w:r>
      <w:r w:rsidR="001673EB">
        <w:t>t</w:t>
      </w:r>
      <w:r>
        <w:t xml:space="preserve">rategieplan von Landwirtschaftsminister Romain Schneider </w:t>
      </w:r>
      <w:r w:rsidR="001673EB">
        <w:t xml:space="preserve">ist ebenfalls </w:t>
      </w:r>
      <w:r>
        <w:t>bislang unbekannt. Dabei hat die EU-Kommission Ende 2020 wichtige Kritikpunkte bezüglich der luxemburgischen Landwirtschaft angeführt und Luxemburg aufgefordert angesichts de</w:t>
      </w:r>
      <w:r w:rsidR="001673EB">
        <w:t>s</w:t>
      </w:r>
      <w:r>
        <w:t xml:space="preserve"> zu hohen Ausstoß</w:t>
      </w:r>
      <w:r w:rsidR="001673EB">
        <w:t>es</w:t>
      </w:r>
      <w:r>
        <w:t xml:space="preserve"> von Treibhausgasen (v.a. Methan, Stickoxide) und Ammoniak,</w:t>
      </w:r>
      <w:r w:rsidR="00895154">
        <w:t xml:space="preserve"> der</w:t>
      </w:r>
      <w:r>
        <w:t xml:space="preserve"> hoher Nitrat- und Phosphateinträge, de</w:t>
      </w:r>
      <w:r w:rsidR="008B3C62">
        <w:t>s</w:t>
      </w:r>
      <w:r>
        <w:t xml:space="preserve"> unbefriedigenden Zustand</w:t>
      </w:r>
      <w:r w:rsidR="008B3C62">
        <w:t>s</w:t>
      </w:r>
      <w:r>
        <w:t xml:space="preserve"> der Oberflächengewässer und des Grundwasserkörper, u.v.m. drastische Korrekturen </w:t>
      </w:r>
      <w:r>
        <w:t>vorzunehmen.</w:t>
      </w:r>
    </w:p>
    <w:p w14:paraId="21538BE2" w14:textId="77777777" w:rsidR="00E86036" w:rsidRDefault="00E03A60">
      <w:pPr>
        <w:jc w:val="both"/>
      </w:pPr>
      <w:r>
        <w:t xml:space="preserve"> </w:t>
      </w:r>
    </w:p>
    <w:p w14:paraId="1D2A2FFA" w14:textId="3E751861" w:rsidR="00E86036" w:rsidRDefault="00E03A60">
      <w:pPr>
        <w:jc w:val="both"/>
      </w:pPr>
      <w:r>
        <w:t xml:space="preserve">Wir fordern den Landwirtschaftsminister Romain Schneider </w:t>
      </w:r>
      <w:r w:rsidR="008B3C62">
        <w:t xml:space="preserve">eindringlich </w:t>
      </w:r>
      <w:r>
        <w:t xml:space="preserve">auf den nationalen Spielraum beim Strategieplan voll auszunutzen, </w:t>
      </w:r>
      <w:r w:rsidR="008B3C62">
        <w:t>und zwar</w:t>
      </w:r>
      <w:r>
        <w:t xml:space="preserve"> zu Gunsten einer Landwirtschaft für Luxemburg</w:t>
      </w:r>
      <w:r w:rsidR="008B3C62">
        <w:t>,</w:t>
      </w:r>
      <w:r>
        <w:t xml:space="preserve"> die dem Gemeinwohl dient und die der komplexen Aufgabe der Landwirtschaft gerecht wird: Erhaltung von kleineren und mittelgroßen Betrieben und Möglichkeiten einer Umorientierung im Sinne einer </w:t>
      </w:r>
      <w:r w:rsidR="008B3C62">
        <w:t xml:space="preserve">resilienten und enkeltauglichen </w:t>
      </w:r>
      <w:r w:rsidR="00DB375C">
        <w:t>Produktion (weniger Milch und</w:t>
      </w:r>
      <w:r>
        <w:t xml:space="preserve"> Fleisch</w:t>
      </w:r>
      <w:r w:rsidR="008B3C62">
        <w:t>,</w:t>
      </w:r>
      <w:r w:rsidR="006831EB">
        <w:t xml:space="preserve"> </w:t>
      </w:r>
      <w:r w:rsidR="008B3C62">
        <w:t>Verzicht auf chemisch-synthetische Dünge</w:t>
      </w:r>
      <w:r w:rsidR="00850933">
        <w:t xml:space="preserve">- </w:t>
      </w:r>
      <w:r w:rsidR="008B3C62">
        <w:t>und Spritzmittel, flächengebunde</w:t>
      </w:r>
      <w:r w:rsidR="00850933">
        <w:t>ne</w:t>
      </w:r>
      <w:r w:rsidR="008B3C62">
        <w:t xml:space="preserve"> Tierhaltung und kreislauforientierte Wirtschaftsweise</w:t>
      </w:r>
      <w:r w:rsidR="00DB375C">
        <w:t>)</w:t>
      </w:r>
      <w:r>
        <w:t xml:space="preserve"> mit mehr Biodiversität und Klimaschutz, mehr Bio-Landbau</w:t>
      </w:r>
      <w:r w:rsidR="00850933" w:rsidRPr="00850933">
        <w:t xml:space="preserve"> </w:t>
      </w:r>
      <w:r w:rsidR="00850933">
        <w:t xml:space="preserve">und </w:t>
      </w:r>
      <w:r w:rsidR="00DB375C">
        <w:t>auch</w:t>
      </w:r>
      <w:r w:rsidR="00850933">
        <w:t xml:space="preserve"> mit mehr Sicherheit und Einbindung der Bäuerinnen und Bauern in </w:t>
      </w:r>
      <w:r w:rsidR="00DB375C">
        <w:t>die</w:t>
      </w:r>
      <w:r w:rsidR="00850933">
        <w:t xml:space="preserve"> Gestaltung unserer Zukunft</w:t>
      </w:r>
      <w:r>
        <w:t>.</w:t>
      </w:r>
    </w:p>
    <w:p w14:paraId="767F393F" w14:textId="77777777" w:rsidR="00E86036" w:rsidRDefault="00E03A60">
      <w:pPr>
        <w:jc w:val="both"/>
      </w:pPr>
      <w:r>
        <w:t xml:space="preserve"> </w:t>
      </w:r>
    </w:p>
    <w:p w14:paraId="2D35215F" w14:textId="77777777" w:rsidR="00DB375C" w:rsidRDefault="00DB375C">
      <w:pPr>
        <w:jc w:val="both"/>
      </w:pPr>
    </w:p>
    <w:p w14:paraId="6A4E1512" w14:textId="77777777" w:rsidR="00DB375C" w:rsidRDefault="00DB375C">
      <w:pPr>
        <w:jc w:val="both"/>
      </w:pPr>
    </w:p>
    <w:p w14:paraId="508B5264" w14:textId="77777777" w:rsidR="00DB375C" w:rsidRDefault="00DB375C">
      <w:pPr>
        <w:jc w:val="both"/>
      </w:pPr>
    </w:p>
    <w:p w14:paraId="0BE4B407" w14:textId="77777777" w:rsidR="00DB375C" w:rsidRDefault="00DB375C">
      <w:pPr>
        <w:jc w:val="both"/>
      </w:pPr>
    </w:p>
    <w:p w14:paraId="44D67373" w14:textId="4966F487" w:rsidR="00895154" w:rsidRDefault="00E03A60">
      <w:pPr>
        <w:jc w:val="both"/>
      </w:pPr>
      <w:r>
        <w:t xml:space="preserve"> </w:t>
      </w:r>
    </w:p>
    <w:p w14:paraId="3FCE2928" w14:textId="77777777" w:rsidR="00E86036" w:rsidRDefault="00E03A60" w:rsidP="00DB375C">
      <w:pPr>
        <w:jc w:val="both"/>
      </w:pPr>
      <w:r>
        <w:t>Kontakt:</w:t>
      </w:r>
    </w:p>
    <w:p w14:paraId="630DB174" w14:textId="77777777" w:rsidR="00E86036" w:rsidRDefault="00E03A60">
      <w:pPr>
        <w:spacing w:before="240" w:after="240"/>
      </w:pPr>
      <w:r>
        <w:t xml:space="preserve">Raymond Aendekerk; </w:t>
      </w:r>
      <w:r>
        <w:rPr>
          <w:color w:val="0563C1"/>
        </w:rPr>
        <w:t>raymond.aendekerk@greenpeace.org</w:t>
      </w:r>
      <w:r>
        <w:t>; Tel.: 661 54 62 52</w:t>
      </w:r>
    </w:p>
    <w:p w14:paraId="1F5DABC0" w14:textId="2983E389" w:rsidR="00E86036" w:rsidRDefault="00E03A60">
      <w:pPr>
        <w:spacing w:before="240" w:after="240"/>
      </w:pPr>
      <w:r>
        <w:t xml:space="preserve">Mathieu Wittmann; </w:t>
      </w:r>
      <w:r>
        <w:rPr>
          <w:color w:val="0563C1"/>
        </w:rPr>
        <w:t>m.wittmann@naturemwelt.lu</w:t>
      </w:r>
      <w:r w:rsidR="000B1FDF">
        <w:t>; Tel.: 29 04 04 311</w:t>
      </w:r>
      <w:bookmarkStart w:id="0" w:name="_GoBack"/>
      <w:bookmarkEnd w:id="0"/>
    </w:p>
    <w:p w14:paraId="67929AD9" w14:textId="77777777" w:rsidR="00E86036" w:rsidRDefault="00E03A60">
      <w:pPr>
        <w:spacing w:before="240" w:after="240"/>
      </w:pPr>
      <w:r>
        <w:rPr>
          <w:b/>
        </w:rPr>
        <w:t xml:space="preserve"> </w:t>
      </w:r>
    </w:p>
    <w:p w14:paraId="7E4B5636" w14:textId="77777777" w:rsidR="00E86036" w:rsidRDefault="00E03A60">
      <w:pPr>
        <w:spacing w:before="240" w:after="240"/>
      </w:pPr>
      <w:r>
        <w:t xml:space="preserve"> * </w:t>
      </w:r>
      <w:r>
        <w:rPr>
          <w:i/>
        </w:rPr>
        <w:t>Meng Landwirtschaft</w:t>
      </w:r>
      <w:r>
        <w:t>: natur&amp;ëmwelt a.s.b.l.,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t>Vereenegung fir Biolandwirtschaft Lëtzebuerg a.s.b.l., Greenpeace Luxemburg, Action Solidarité Tiers Monde, SOS Faim Luxembourg, Mouvement Ecologique, Caritas Luxembourg, Aide à l’Enfance de l’Inde et du Népal, attac, CELL, Cercle de Coopération, Emweltberodung Lëtzbuerg, Eglise catholique à Luxembourg, etika, Fairtrade Lëtzebuerg, Frères des Hommes, Lëtzebuerger Landesverband fir Beienzucht, Ligue CTF, SEED und Slow Food Luxembourg</w:t>
      </w:r>
    </w:p>
    <w:p w14:paraId="2B375E96" w14:textId="77777777" w:rsidR="00E86036" w:rsidRDefault="00E03A60">
      <w:pPr>
        <w:spacing w:before="240" w:after="240"/>
      </w:pPr>
      <w:r>
        <w:rPr>
          <w:i/>
        </w:rPr>
        <w:t>Meng Landwirtschaft</w:t>
      </w:r>
      <w:r>
        <w:t xml:space="preserve"> hat mit dem Dokument „Landwirtschaft 2.0, Ein Plädoyer für eine Neue Agrarpolitik in Luxemburg“ eine umfangreiche Dokumentation zum Thema erstellt. (www.meng-landwirtschaft.lu)</w:t>
      </w:r>
    </w:p>
    <w:p w14:paraId="06347BD5" w14:textId="77777777" w:rsidR="00E86036" w:rsidRDefault="00E86036"/>
    <w:sectPr w:rsidR="00E8603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C2B107" w14:textId="77777777" w:rsidR="00B103A6" w:rsidRDefault="00B103A6">
      <w:r>
        <w:separator/>
      </w:r>
    </w:p>
  </w:endnote>
  <w:endnote w:type="continuationSeparator" w:id="0">
    <w:p w14:paraId="3420C4E9" w14:textId="77777777" w:rsidR="00B103A6" w:rsidRDefault="00B10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A3C261" w14:textId="77777777" w:rsidR="00B103A6" w:rsidRDefault="00B103A6">
      <w:r>
        <w:rPr>
          <w:color w:val="000000"/>
        </w:rPr>
        <w:separator/>
      </w:r>
    </w:p>
  </w:footnote>
  <w:footnote w:type="continuationSeparator" w:id="0">
    <w:p w14:paraId="46D88191" w14:textId="77777777" w:rsidR="00B103A6" w:rsidRDefault="00B103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86036"/>
    <w:rsid w:val="00057DB2"/>
    <w:rsid w:val="00067B66"/>
    <w:rsid w:val="000B1FDF"/>
    <w:rsid w:val="001673EB"/>
    <w:rsid w:val="00225231"/>
    <w:rsid w:val="00262DF7"/>
    <w:rsid w:val="006521A7"/>
    <w:rsid w:val="006831EB"/>
    <w:rsid w:val="006D0AD4"/>
    <w:rsid w:val="006D6E57"/>
    <w:rsid w:val="00730745"/>
    <w:rsid w:val="00821BE1"/>
    <w:rsid w:val="00850933"/>
    <w:rsid w:val="00865C40"/>
    <w:rsid w:val="00895154"/>
    <w:rsid w:val="008A746B"/>
    <w:rsid w:val="008B3C62"/>
    <w:rsid w:val="00923C33"/>
    <w:rsid w:val="00A36B4E"/>
    <w:rsid w:val="00A56A9B"/>
    <w:rsid w:val="00B103A6"/>
    <w:rsid w:val="00DB375C"/>
    <w:rsid w:val="00DF1120"/>
    <w:rsid w:val="00E03A60"/>
    <w:rsid w:val="00E6151B"/>
    <w:rsid w:val="00E86036"/>
    <w:rsid w:val="00EF5AA2"/>
    <w:rsid w:val="00F0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6B61A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de-L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pPr>
      <w:widowControl/>
    </w:pPr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Normal"/>
    <w:pPr>
      <w:spacing w:after="140" w:line="276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sz w:val="24"/>
    </w:r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cs="Mangal"/>
      <w:sz w:val="20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B4E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B4E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775</Words>
  <Characters>4419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Noesen</dc:creator>
  <cp:lastModifiedBy>Microsoft Office User</cp:lastModifiedBy>
  <cp:revision>29</cp:revision>
  <dcterms:created xsi:type="dcterms:W3CDTF">2021-06-28T12:18:00Z</dcterms:created>
  <dcterms:modified xsi:type="dcterms:W3CDTF">2021-06-28T12:28:00Z</dcterms:modified>
</cp:coreProperties>
</file>