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9084A" w14:textId="77777777" w:rsidR="005C4047" w:rsidRDefault="005C4047">
      <w:pPr>
        <w:rPr>
          <w:rFonts w:ascii="Arial" w:hAnsi="Arial" w:cs="Arial"/>
          <w:sz w:val="22"/>
        </w:rPr>
      </w:pPr>
    </w:p>
    <w:p w14:paraId="339FDCD8" w14:textId="77777777" w:rsidR="005C4047" w:rsidRDefault="00AA0A93">
      <w:pPr>
        <w:pStyle w:val="P68B1DB1-Normal1"/>
      </w:pPr>
      <w:r>
        <w:t xml:space="preserve">Tätigkeitsbericht 2022 </w:t>
      </w:r>
    </w:p>
    <w:p w14:paraId="16E81BC5" w14:textId="77777777" w:rsidR="005C4047" w:rsidRDefault="005C4047">
      <w:pPr>
        <w:pStyle w:val="NormalWeb"/>
        <w:jc w:val="both"/>
        <w:rPr>
          <w:rFonts w:ascii="Arial" w:hAnsi="Arial" w:cs="Arial"/>
          <w:b/>
          <w:sz w:val="16"/>
        </w:rPr>
      </w:pPr>
    </w:p>
    <w:p w14:paraId="617E0B1D" w14:textId="2FCC38D5" w:rsidR="005C4047" w:rsidRDefault="003B1BD3">
      <w:pPr>
        <w:pStyle w:val="P68B1DB1-NormalWeb2"/>
        <w:jc w:val="both"/>
      </w:pPr>
      <w:r>
        <w:t xml:space="preserve">Die </w:t>
      </w:r>
      <w:r w:rsidR="00AA0A93">
        <w:t>CNPD ebnet den Weg für die DSGVO-Zertifizierung, engagiert sich auf europäischer Ebene und bereitet sich auf das „Digital Package“ vor</w:t>
      </w:r>
    </w:p>
    <w:p w14:paraId="3B7D3A5E" w14:textId="77777777" w:rsidR="005C4047" w:rsidRDefault="00AA0A93">
      <w:pPr>
        <w:pStyle w:val="P68B1DB1-NormalWeb3"/>
      </w:pPr>
      <w:r>
        <w:t> </w:t>
      </w:r>
    </w:p>
    <w:p w14:paraId="4E34F207" w14:textId="77777777" w:rsidR="005C4047" w:rsidRDefault="00AA0A93">
      <w:pPr>
        <w:pStyle w:val="P68B1DB1-Normal4"/>
        <w:jc w:val="both"/>
      </w:pPr>
      <w:r>
        <w:rPr>
          <w:i/>
        </w:rPr>
        <w:t>Esch-</w:t>
      </w:r>
      <w:proofErr w:type="spellStart"/>
      <w:r>
        <w:rPr>
          <w:i/>
        </w:rPr>
        <w:t>Belval</w:t>
      </w:r>
      <w:proofErr w:type="spellEnd"/>
      <w:r>
        <w:rPr>
          <w:i/>
        </w:rPr>
        <w:t>, 3. Oktober 2023</w:t>
      </w:r>
      <w:r>
        <w:t xml:space="preserve"> – Heute hat die CNPD auf einer Pressekonferenz ihren Tätigkeitsbericht vorgestellt, in dem die wichtigsten Kennzahlen und Entwicklungen des Jahres 2022 zusammengefasst werden.</w:t>
      </w:r>
    </w:p>
    <w:p w14:paraId="6035D420" w14:textId="77777777" w:rsidR="005C4047" w:rsidRDefault="005C4047">
      <w:pPr>
        <w:jc w:val="both"/>
        <w:rPr>
          <w:rFonts w:ascii="Arial" w:eastAsia="Calibri" w:hAnsi="Arial"/>
          <w:sz w:val="22"/>
        </w:rPr>
      </w:pPr>
    </w:p>
    <w:p w14:paraId="0C17CAD0" w14:textId="77777777" w:rsidR="005C4047" w:rsidRDefault="00AA0A93">
      <w:pPr>
        <w:pStyle w:val="P68B1DB1-Normal5"/>
        <w:jc w:val="both"/>
        <w:rPr>
          <w:color w:val="00476B"/>
        </w:rPr>
      </w:pPr>
      <w:r>
        <w:t xml:space="preserve">2 Jahrzehnte Kontrolle, Beratung und Wachstum </w:t>
      </w:r>
    </w:p>
    <w:p w14:paraId="07CC325B" w14:textId="77777777" w:rsidR="005C4047" w:rsidRDefault="005C4047">
      <w:pPr>
        <w:jc w:val="both"/>
        <w:rPr>
          <w:rFonts w:ascii="Arial" w:eastAsia="Calibri" w:hAnsi="Arial"/>
          <w:b/>
          <w:sz w:val="22"/>
        </w:rPr>
      </w:pPr>
    </w:p>
    <w:p w14:paraId="3FB487A7" w14:textId="30FF85BD" w:rsidR="005C4047" w:rsidRDefault="00CB2C38">
      <w:pPr>
        <w:jc w:val="both"/>
        <w:rPr>
          <w:rFonts w:ascii="Arial" w:hAnsi="Arial" w:cs="Arial"/>
          <w:color w:val="0B121E"/>
          <w:sz w:val="22"/>
          <w:shd w:val="clear" w:color="auto" w:fill="FFFFFF"/>
        </w:rPr>
      </w:pPr>
      <w:r>
        <w:rPr>
          <w:rFonts w:ascii="Arial" w:eastAsia="Calibri" w:hAnsi="Arial"/>
          <w:sz w:val="22"/>
        </w:rPr>
        <w:t xml:space="preserve">Am 1. </w:t>
      </w:r>
      <w:r w:rsidR="00AA0A93">
        <w:rPr>
          <w:rFonts w:ascii="Arial" w:eastAsia="Calibri" w:hAnsi="Arial"/>
          <w:sz w:val="22"/>
        </w:rPr>
        <w:t>Dezember 2022 feierte di</w:t>
      </w:r>
      <w:r w:rsidR="003B1BD3">
        <w:rPr>
          <w:rFonts w:ascii="Arial" w:eastAsia="Calibri" w:hAnsi="Arial"/>
          <w:sz w:val="22"/>
        </w:rPr>
        <w:t>e CNPD ihr 20-jähriges</w:t>
      </w:r>
      <w:r w:rsidR="003B1BD3">
        <w:rPr>
          <w:rFonts w:ascii="Arial" w:hAnsi="Arial" w:cs="Arial"/>
          <w:sz w:val="22"/>
        </w:rPr>
        <w:t xml:space="preserve"> </w:t>
      </w:r>
      <w:r w:rsidR="00AA0A93">
        <w:rPr>
          <w:rFonts w:ascii="Arial" w:hAnsi="Arial" w:cs="Arial"/>
          <w:sz w:val="22"/>
        </w:rPr>
        <w:t>Bestehen</w:t>
      </w:r>
      <w:r w:rsidR="00E23E90">
        <w:rPr>
          <w:rFonts w:ascii="Arial" w:hAnsi="Arial" w:cs="Arial"/>
          <w:sz w:val="22"/>
        </w:rPr>
        <w:t>,</w:t>
      </w:r>
      <w:r w:rsidR="00AA0A93">
        <w:rPr>
          <w:rFonts w:ascii="Arial" w:hAnsi="Arial" w:cs="Arial"/>
          <w:sz w:val="22"/>
        </w:rPr>
        <w:t xml:space="preserve"> ihre Geschichte, ihre</w:t>
      </w:r>
      <w:r>
        <w:rPr>
          <w:rFonts w:ascii="Arial" w:hAnsi="Arial" w:cs="Arial"/>
          <w:sz w:val="22"/>
        </w:rPr>
        <w:t xml:space="preserve"> Leistungen und ihre Agenten auf</w:t>
      </w:r>
      <w:r w:rsidR="00AA0A93">
        <w:rPr>
          <w:rFonts w:ascii="Arial" w:hAnsi="Arial" w:cs="Arial"/>
          <w:sz w:val="22"/>
        </w:rPr>
        <w:t xml:space="preserve"> einer Veranstaltung, an der zahlreiche Gäste teilnahmen, darunter der Premierminister und Minister für Kommunikation und Medien</w:t>
      </w:r>
      <w:r w:rsidR="003B1BD3">
        <w:rPr>
          <w:rFonts w:ascii="Arial" w:hAnsi="Arial" w:cs="Arial"/>
          <w:sz w:val="22"/>
        </w:rPr>
        <w:t>,</w:t>
      </w:r>
      <w:r w:rsidR="00AA0A93">
        <w:rPr>
          <w:rFonts w:ascii="Arial" w:hAnsi="Arial" w:cs="Arial"/>
          <w:sz w:val="22"/>
        </w:rPr>
        <w:t xml:space="preserve"> </w:t>
      </w:r>
      <w:r w:rsidR="003B1BD3">
        <w:rPr>
          <w:rFonts w:ascii="Arial" w:hAnsi="Arial" w:cs="Arial"/>
          <w:sz w:val="22"/>
        </w:rPr>
        <w:t xml:space="preserve">Herr </w:t>
      </w:r>
      <w:r w:rsidR="00AA0A93">
        <w:rPr>
          <w:rFonts w:ascii="Arial" w:hAnsi="Arial" w:cs="Arial"/>
          <w:sz w:val="22"/>
        </w:rPr>
        <w:t>Xavier Bettel, Innenministerin und Ministerin für Gleichstellung von Frauen und Männern</w:t>
      </w:r>
      <w:r w:rsidR="003B1BD3">
        <w:rPr>
          <w:rFonts w:ascii="Arial" w:hAnsi="Arial" w:cs="Arial"/>
          <w:sz w:val="22"/>
        </w:rPr>
        <w:t>,</w:t>
      </w:r>
      <w:r w:rsidR="00AA0A93">
        <w:rPr>
          <w:rFonts w:ascii="Arial" w:hAnsi="Arial" w:cs="Arial"/>
          <w:sz w:val="22"/>
        </w:rPr>
        <w:t xml:space="preserve"> </w:t>
      </w:r>
      <w:r w:rsidR="003B1BD3">
        <w:rPr>
          <w:rFonts w:ascii="Arial" w:hAnsi="Arial" w:cs="Arial"/>
          <w:sz w:val="22"/>
        </w:rPr>
        <w:t xml:space="preserve">Frau </w:t>
      </w:r>
      <w:r w:rsidR="00AA0A93">
        <w:rPr>
          <w:rFonts w:ascii="Arial" w:hAnsi="Arial" w:cs="Arial"/>
          <w:sz w:val="22"/>
        </w:rPr>
        <w:t xml:space="preserve">Taina Bofferding und die Vorsitzende des Europäischen Datenschutzausschusses (European Data </w:t>
      </w:r>
      <w:proofErr w:type="spellStart"/>
      <w:r w:rsidR="00AA0A93">
        <w:rPr>
          <w:rFonts w:ascii="Arial" w:hAnsi="Arial" w:cs="Arial"/>
          <w:sz w:val="22"/>
        </w:rPr>
        <w:t>Protection</w:t>
      </w:r>
      <w:proofErr w:type="spellEnd"/>
      <w:r w:rsidR="00AA0A93">
        <w:rPr>
          <w:rFonts w:ascii="Arial" w:hAnsi="Arial" w:cs="Arial"/>
          <w:sz w:val="22"/>
        </w:rPr>
        <w:t xml:space="preserve"> Board, EDPB), Dr. Andrea Jelinek. Unter </w:t>
      </w:r>
      <w:r w:rsidR="00AA0A93">
        <w:rPr>
          <w:rFonts w:ascii="Arial" w:hAnsi="Arial" w:cs="Arial"/>
          <w:color w:val="0B121E"/>
          <w:sz w:val="22"/>
          <w:shd w:val="clear" w:color="auto" w:fill="FFFFFF"/>
        </w:rPr>
        <w:t xml:space="preserve">Hinweis auf die Geschwindigkeit des technologischen Wandels in einer zunehmend digitalen Gesellschaft versicherte Frau </w:t>
      </w:r>
      <w:r w:rsidR="00AA0A93">
        <w:rPr>
          <w:rFonts w:ascii="Arial" w:eastAsia="Calibri" w:hAnsi="Arial" w:cs="Arial"/>
          <w:sz w:val="22"/>
        </w:rPr>
        <w:t xml:space="preserve">Tine A. Larsen, </w:t>
      </w:r>
      <w:r w:rsidR="003B1BD3">
        <w:rPr>
          <w:rFonts w:ascii="Arial" w:eastAsia="Calibri" w:hAnsi="Arial" w:cs="Arial"/>
          <w:sz w:val="22"/>
        </w:rPr>
        <w:t>Vorsitzende</w:t>
      </w:r>
      <w:r w:rsidR="00AA0A93">
        <w:rPr>
          <w:rFonts w:ascii="Arial" w:eastAsia="Calibri" w:hAnsi="Arial" w:cs="Arial"/>
          <w:sz w:val="22"/>
        </w:rPr>
        <w:t xml:space="preserve"> der CNPD, dass die Nationale Kommission ihre </w:t>
      </w:r>
      <w:r w:rsidR="009C44FE" w:rsidRPr="009C44FE">
        <w:rPr>
          <w:rFonts w:ascii="Arial" w:eastAsia="Calibri" w:hAnsi="Arial" w:cs="Arial"/>
          <w:sz w:val="22"/>
        </w:rPr>
        <w:t xml:space="preserve">Kernaufgabe </w:t>
      </w:r>
      <w:r w:rsidR="00AA0A93">
        <w:rPr>
          <w:rFonts w:ascii="Arial" w:eastAsia="Calibri" w:hAnsi="Arial" w:cs="Arial"/>
          <w:sz w:val="22"/>
        </w:rPr>
        <w:t xml:space="preserve">nicht aus den Augen verlieren werde: </w:t>
      </w:r>
      <w:r w:rsidR="003B1BD3">
        <w:rPr>
          <w:rFonts w:ascii="Arial" w:eastAsia="Calibri" w:hAnsi="Arial" w:cs="Arial"/>
          <w:sz w:val="22"/>
        </w:rPr>
        <w:t>„</w:t>
      </w:r>
      <w:r w:rsidR="009C44FE" w:rsidRPr="009C44FE">
        <w:rPr>
          <w:rFonts w:ascii="Arial" w:eastAsia="Calibri" w:hAnsi="Arial" w:cs="Arial"/>
          <w:sz w:val="22"/>
        </w:rPr>
        <w:t>Solange die CNPD besteht, werden wir Ihr Grund</w:t>
      </w:r>
      <w:r w:rsidR="009C44FE">
        <w:rPr>
          <w:rFonts w:ascii="Arial" w:eastAsia="Calibri" w:hAnsi="Arial" w:cs="Arial"/>
          <w:sz w:val="22"/>
        </w:rPr>
        <w:t>recht auf Privatsphäre schützen</w:t>
      </w:r>
      <w:r w:rsidR="003B1BD3">
        <w:rPr>
          <w:rFonts w:ascii="Arial" w:eastAsia="Calibri" w:hAnsi="Arial" w:cs="Arial"/>
          <w:sz w:val="22"/>
        </w:rPr>
        <w:t xml:space="preserve">“. Eine </w:t>
      </w:r>
      <w:r>
        <w:rPr>
          <w:rFonts w:ascii="Arial" w:eastAsia="Calibri" w:hAnsi="Arial" w:cs="Arial"/>
          <w:sz w:val="22"/>
        </w:rPr>
        <w:t>Aussage,</w:t>
      </w:r>
      <w:r w:rsidR="00AA0A93">
        <w:rPr>
          <w:rFonts w:ascii="Arial" w:eastAsia="Calibri" w:hAnsi="Arial" w:cs="Arial"/>
          <w:sz w:val="22"/>
        </w:rPr>
        <w:t xml:space="preserve"> </w:t>
      </w:r>
      <w:r w:rsidR="003B1BD3">
        <w:rPr>
          <w:rFonts w:ascii="Arial" w:eastAsia="Calibri" w:hAnsi="Arial" w:cs="Arial"/>
          <w:sz w:val="22"/>
        </w:rPr>
        <w:t xml:space="preserve">die </w:t>
      </w:r>
      <w:r w:rsidR="00AA0A93">
        <w:rPr>
          <w:rFonts w:ascii="Arial" w:eastAsia="Calibri" w:hAnsi="Arial" w:cs="Arial"/>
          <w:sz w:val="22"/>
        </w:rPr>
        <w:t xml:space="preserve">von </w:t>
      </w:r>
      <w:r w:rsidR="00AA0A93">
        <w:rPr>
          <w:rStyle w:val="Strong"/>
          <w:rFonts w:ascii="Arial" w:hAnsi="Arial" w:cs="Arial"/>
          <w:b w:val="0"/>
          <w:color w:val="0B121E"/>
          <w:sz w:val="22"/>
          <w:shd w:val="clear" w:color="auto" w:fill="FFFFFF"/>
        </w:rPr>
        <w:t>Herrn Bettel</w:t>
      </w:r>
      <w:r w:rsidR="003B1BD3">
        <w:rPr>
          <w:rStyle w:val="Strong"/>
          <w:rFonts w:ascii="Arial" w:hAnsi="Arial" w:cs="Arial"/>
          <w:b w:val="0"/>
          <w:color w:val="0B121E"/>
          <w:sz w:val="22"/>
          <w:shd w:val="clear" w:color="auto" w:fill="FFFFFF"/>
        </w:rPr>
        <w:t xml:space="preserve"> übernommen wurde: „Die CNPD ist </w:t>
      </w:r>
      <w:r w:rsidR="00AA0A93">
        <w:rPr>
          <w:rStyle w:val="Emphasis"/>
          <w:rFonts w:ascii="Arial" w:hAnsi="Arial" w:cs="Arial"/>
          <w:i w:val="0"/>
          <w:color w:val="0B121E"/>
          <w:sz w:val="22"/>
          <w:shd w:val="clear" w:color="auto" w:fill="FFFFFF"/>
        </w:rPr>
        <w:t xml:space="preserve">die Hüterin eines unserer grundlegendsten Rechte: </w:t>
      </w:r>
      <w:r w:rsidR="009C44FE" w:rsidRPr="009C44FE">
        <w:rPr>
          <w:rStyle w:val="Emphasis"/>
          <w:rFonts w:ascii="Arial" w:hAnsi="Arial" w:cs="Arial"/>
          <w:i w:val="0"/>
          <w:color w:val="0B121E"/>
          <w:sz w:val="22"/>
          <w:shd w:val="clear" w:color="auto" w:fill="FFFFFF"/>
        </w:rPr>
        <w:t>des Schutzes unserer Privatsphäre</w:t>
      </w:r>
      <w:r w:rsidR="003B1BD3">
        <w:rPr>
          <w:rFonts w:ascii="Arial" w:hAnsi="Arial" w:cs="Arial"/>
          <w:color w:val="0B121E"/>
          <w:sz w:val="22"/>
          <w:shd w:val="clear" w:color="auto" w:fill="FFFFFF"/>
        </w:rPr>
        <w:t>“.</w:t>
      </w:r>
      <w:r w:rsidR="00AA0A93">
        <w:rPr>
          <w:rFonts w:ascii="Arial" w:hAnsi="Arial" w:cs="Arial"/>
          <w:color w:val="0B121E"/>
          <w:sz w:val="22"/>
          <w:shd w:val="clear" w:color="auto" w:fill="FFFFFF"/>
        </w:rPr>
        <w:t xml:space="preserve"> </w:t>
      </w:r>
      <w:r w:rsidR="003B1BD3">
        <w:rPr>
          <w:rFonts w:ascii="Arial" w:eastAsia="Calibri" w:hAnsi="Arial"/>
          <w:sz w:val="22"/>
        </w:rPr>
        <w:t xml:space="preserve">Die </w:t>
      </w:r>
      <w:r>
        <w:rPr>
          <w:rFonts w:ascii="Arial" w:eastAsia="Calibri" w:hAnsi="Arial"/>
          <w:sz w:val="22"/>
        </w:rPr>
        <w:t>Feier</w:t>
      </w:r>
      <w:r w:rsidR="003B1BD3">
        <w:rPr>
          <w:rFonts w:ascii="Arial" w:eastAsia="Calibri" w:hAnsi="Arial"/>
          <w:sz w:val="22"/>
        </w:rPr>
        <w:t xml:space="preserve"> </w:t>
      </w:r>
      <w:r w:rsidR="00E225DC">
        <w:rPr>
          <w:rFonts w:ascii="Arial" w:eastAsia="Calibri" w:hAnsi="Arial"/>
          <w:sz w:val="22"/>
        </w:rPr>
        <w:t xml:space="preserve">bot </w:t>
      </w:r>
      <w:r>
        <w:rPr>
          <w:rFonts w:ascii="Arial" w:eastAsia="Calibri" w:hAnsi="Arial"/>
          <w:sz w:val="22"/>
        </w:rPr>
        <w:t>die</w:t>
      </w:r>
      <w:r w:rsidR="00E225DC">
        <w:rPr>
          <w:rFonts w:ascii="Arial" w:eastAsia="Calibri" w:hAnsi="Arial"/>
          <w:sz w:val="22"/>
        </w:rPr>
        <w:t xml:space="preserve"> </w:t>
      </w:r>
      <w:r w:rsidR="00AA0A93">
        <w:rPr>
          <w:rFonts w:ascii="Arial" w:eastAsia="Calibri" w:hAnsi="Arial"/>
          <w:sz w:val="22"/>
        </w:rPr>
        <w:t>Gelegenheit, auf die Schlüsselmoment</w:t>
      </w:r>
      <w:r w:rsidR="003B1BD3">
        <w:rPr>
          <w:rFonts w:ascii="Arial" w:eastAsia="Calibri" w:hAnsi="Arial"/>
          <w:sz w:val="22"/>
        </w:rPr>
        <w:t xml:space="preserve">e der Kommission </w:t>
      </w:r>
      <w:r w:rsidR="00E225DC">
        <w:rPr>
          <w:rFonts w:ascii="Arial" w:eastAsia="Calibri" w:hAnsi="Arial"/>
          <w:sz w:val="22"/>
        </w:rPr>
        <w:t>zurückzublicken</w:t>
      </w:r>
      <w:r w:rsidR="00AA0A93">
        <w:rPr>
          <w:rFonts w:ascii="Arial" w:eastAsia="Calibri" w:hAnsi="Arial"/>
          <w:sz w:val="22"/>
        </w:rPr>
        <w:t>.</w:t>
      </w:r>
    </w:p>
    <w:p w14:paraId="0BC4ED29" w14:textId="77777777" w:rsidR="005C4047" w:rsidRDefault="005C4047">
      <w:pPr>
        <w:jc w:val="both"/>
        <w:rPr>
          <w:rFonts w:ascii="Arial" w:eastAsia="Calibri" w:hAnsi="Arial" w:cs="Arial"/>
          <w:sz w:val="22"/>
        </w:rPr>
      </w:pPr>
    </w:p>
    <w:p w14:paraId="1CCAE90E" w14:textId="589C877D" w:rsidR="005C4047" w:rsidRDefault="003B1BD3">
      <w:pPr>
        <w:pStyle w:val="P68B1DB1-Normal6"/>
        <w:jc w:val="both"/>
      </w:pPr>
      <w:r>
        <w:t>Ende</w:t>
      </w:r>
      <w:r w:rsidR="00AA0A93">
        <w:t xml:space="preserve"> der Pandemie, Zertifizierung im Vordergrund </w:t>
      </w:r>
    </w:p>
    <w:p w14:paraId="2F5B898A" w14:textId="77777777" w:rsidR="005C4047" w:rsidRDefault="005C4047">
      <w:pPr>
        <w:jc w:val="both"/>
        <w:rPr>
          <w:rFonts w:ascii="Arial" w:eastAsia="Calibri" w:hAnsi="Arial" w:cs="Arial"/>
          <w:sz w:val="22"/>
        </w:rPr>
      </w:pPr>
    </w:p>
    <w:p w14:paraId="65B84999" w14:textId="6E22ED8F" w:rsidR="005C4047" w:rsidRDefault="003B1BD3">
      <w:pPr>
        <w:pStyle w:val="P68B1DB1-Normal7"/>
        <w:jc w:val="both"/>
      </w:pPr>
      <w:r>
        <w:t>Wie im</w:t>
      </w:r>
      <w:r w:rsidR="00AA0A93">
        <w:t xml:space="preserve"> Jahr 2021 </w:t>
      </w:r>
      <w:r w:rsidR="00E23E90">
        <w:t>erhielt</w:t>
      </w:r>
      <w:r>
        <w:t xml:space="preserve"> die CNPD </w:t>
      </w:r>
      <w:r w:rsidR="00AA0A93">
        <w:t xml:space="preserve">Anfang 2022 </w:t>
      </w:r>
      <w:r>
        <w:t xml:space="preserve">noch </w:t>
      </w:r>
      <w:r w:rsidR="00AA0A93">
        <w:t xml:space="preserve">eine beträchtliche Anzahl von Fragen </w:t>
      </w:r>
      <w:r w:rsidR="006C22AE">
        <w:t>zu</w:t>
      </w:r>
      <w:r w:rsidR="00AA0A93">
        <w:t xml:space="preserve"> der Verarbeitung personenbezogener Daten im Zusammenhang mit der Bewältigung der COVID-19-Pandemie, insbesondere </w:t>
      </w:r>
      <w:r w:rsidR="006C22AE">
        <w:t>über den</w:t>
      </w:r>
      <w:r w:rsidR="00AA0A93">
        <w:t xml:space="preserve"> „</w:t>
      </w:r>
      <w:proofErr w:type="spellStart"/>
      <w:r w:rsidR="00AA0A93">
        <w:t>CovidCheck</w:t>
      </w:r>
      <w:proofErr w:type="spellEnd"/>
      <w:r w:rsidR="00AA0A93">
        <w:t>“ und s</w:t>
      </w:r>
      <w:r w:rsidR="006C22AE">
        <w:t>einer Anwendung am Arbeitsplatz</w:t>
      </w:r>
      <w:r w:rsidR="00AA0A93">
        <w:t xml:space="preserve">. </w:t>
      </w:r>
    </w:p>
    <w:p w14:paraId="69EC63F2" w14:textId="77777777" w:rsidR="005C4047" w:rsidRDefault="005C4047">
      <w:pPr>
        <w:jc w:val="both"/>
        <w:rPr>
          <w:rFonts w:ascii="Arial" w:eastAsia="Calibri" w:hAnsi="Arial" w:cs="Arial"/>
          <w:sz w:val="22"/>
        </w:rPr>
      </w:pPr>
    </w:p>
    <w:p w14:paraId="2CC3344D" w14:textId="54F3F7AB" w:rsidR="005C4047" w:rsidRDefault="00AA0A93">
      <w:pPr>
        <w:pStyle w:val="P68B1DB1-Normal7"/>
        <w:jc w:val="both"/>
      </w:pPr>
      <w:r>
        <w:t xml:space="preserve">Als sich das Ende der Pandemie näherte, kündigte die CNPD am 13. Mai 2022 einen wichtigen Meilenstein in ihrer Geschichte an: </w:t>
      </w:r>
      <w:r w:rsidR="006C22AE">
        <w:t xml:space="preserve">die </w:t>
      </w:r>
      <w:r>
        <w:t xml:space="preserve">Einführung </w:t>
      </w:r>
      <w:r w:rsidR="006C22AE">
        <w:t>von</w:t>
      </w:r>
      <w:r>
        <w:t xml:space="preserve"> „GDPR-CARPA“, d</w:t>
      </w:r>
      <w:r w:rsidR="00E23E90">
        <w:t>em</w:t>
      </w:r>
      <w:r>
        <w:t xml:space="preserve"> erste</w:t>
      </w:r>
      <w:r w:rsidR="00E23E90">
        <w:t>n</w:t>
      </w:r>
      <w:r>
        <w:t xml:space="preserve"> </w:t>
      </w:r>
      <w:r w:rsidR="006C22AE">
        <w:t xml:space="preserve">Zertifizierungsschema </w:t>
      </w:r>
      <w:r>
        <w:t>unter der DSGVO auf nationaler und europäischer Ebene. GDPR-CARPA ermöglich</w:t>
      </w:r>
      <w:r w:rsidR="00E23E90">
        <w:t xml:space="preserve">t es Unternehmen, Verwaltungen und </w:t>
      </w:r>
      <w:r>
        <w:t xml:space="preserve">anderen in Luxemburg ansässigen </w:t>
      </w:r>
      <w:r w:rsidR="00E23E90">
        <w:t>Organisationen</w:t>
      </w:r>
      <w:r>
        <w:t xml:space="preserve"> nachzuweisen, </w:t>
      </w:r>
      <w:r w:rsidR="006C22AE">
        <w:rPr>
          <w:color w:val="0B121E"/>
          <w:shd w:val="clear" w:color="auto" w:fill="FFFFFF"/>
        </w:rPr>
        <w:t>dass ihre Verarbeitungsvorgänge die DSGVO einhalten.</w:t>
      </w:r>
      <w:r>
        <w:t xml:space="preserve"> Die erste Zertifizierungsstelle, </w:t>
      </w:r>
      <w:r w:rsidR="00CB2C38">
        <w:t>der es erlaubt wurde, die</w:t>
      </w:r>
      <w:r>
        <w:t xml:space="preserve"> GDPR-CARPA-Zertifizierung aus</w:t>
      </w:r>
      <w:r w:rsidR="00CB2C38">
        <w:t>zustellen</w:t>
      </w:r>
      <w:r>
        <w:t>, wurde im Oktober 2022 von der CNPD zugelassen, gefolgt von zwei weiteren anerkannten Organisationen im Jahr 2023.</w:t>
      </w:r>
    </w:p>
    <w:p w14:paraId="57BA2B56" w14:textId="77777777" w:rsidR="005C4047" w:rsidRDefault="005C4047">
      <w:pPr>
        <w:jc w:val="both"/>
        <w:rPr>
          <w:rFonts w:ascii="Arial" w:eastAsia="Calibri" w:hAnsi="Arial" w:cs="Arial"/>
          <w:sz w:val="22"/>
        </w:rPr>
      </w:pPr>
    </w:p>
    <w:p w14:paraId="31C650BC" w14:textId="0ECCC031" w:rsidR="005C4047" w:rsidRDefault="007B58FF" w:rsidP="00F347C5">
      <w:pPr>
        <w:pStyle w:val="P68B1DB1-Normal7"/>
        <w:jc w:val="both"/>
        <w:rPr>
          <w:color w:val="0B121E"/>
          <w:shd w:val="clear" w:color="auto" w:fill="FFFFFF"/>
        </w:rPr>
      </w:pPr>
      <w:r w:rsidRPr="00F347C5">
        <w:t>Im</w:t>
      </w:r>
      <w:r w:rsidR="00AA0A93" w:rsidRPr="00F347C5">
        <w:t xml:space="preserve"> Jahr</w:t>
      </w:r>
      <w:r w:rsidRPr="00F347C5">
        <w:t xml:space="preserve"> 2022</w:t>
      </w:r>
      <w:r w:rsidR="00AA0A93" w:rsidRPr="00F347C5">
        <w:t xml:space="preserve"> </w:t>
      </w:r>
      <w:r w:rsidR="00E23E90" w:rsidRPr="00F347C5">
        <w:t xml:space="preserve">war die CNPD </w:t>
      </w:r>
      <w:r w:rsidR="00877A49">
        <w:t xml:space="preserve">des </w:t>
      </w:r>
      <w:r w:rsidR="00CB2C38">
        <w:t>Weiteren</w:t>
      </w:r>
      <w:r w:rsidR="00E23E90" w:rsidRPr="00F347C5">
        <w:t xml:space="preserve"> </w:t>
      </w:r>
      <w:r w:rsidR="00F347C5" w:rsidRPr="00F347C5">
        <w:t>die</w:t>
      </w:r>
      <w:r w:rsidR="00E23E90" w:rsidRPr="00F347C5">
        <w:t xml:space="preserve"> z</w:t>
      </w:r>
      <w:r w:rsidR="00E23E90" w:rsidRPr="00F347C5">
        <w:rPr>
          <w:color w:val="0B121E"/>
          <w:shd w:val="clear" w:color="auto" w:fill="FFFFFF"/>
        </w:rPr>
        <w:t>uständige Aufsichtsbehörde</w:t>
      </w:r>
      <w:r w:rsidR="00E23E90" w:rsidRPr="00F347C5">
        <w:t xml:space="preserve"> </w:t>
      </w:r>
      <w:r w:rsidR="00E225DC">
        <w:t>für</w:t>
      </w:r>
      <w:r w:rsidR="00E23E90" w:rsidRPr="00F347C5">
        <w:t xml:space="preserve"> </w:t>
      </w:r>
      <w:r w:rsidR="00E225DC">
        <w:t xml:space="preserve">das </w:t>
      </w:r>
      <w:r w:rsidR="00E23E90" w:rsidRPr="00F347C5">
        <w:t>erste</w:t>
      </w:r>
      <w:r w:rsidRPr="00F347C5">
        <w:t xml:space="preserve"> europäische Datenschutzsiegel</w:t>
      </w:r>
      <w:r w:rsidR="00E225DC">
        <w:t>,</w:t>
      </w:r>
      <w:r w:rsidR="00AA0A93" w:rsidRPr="00F347C5">
        <w:t xml:space="preserve"> </w:t>
      </w:r>
      <w:r w:rsidR="00E225DC">
        <w:t xml:space="preserve">das </w:t>
      </w:r>
      <w:r w:rsidR="00AA0A93" w:rsidRPr="00F347C5">
        <w:t>durch den</w:t>
      </w:r>
      <w:r w:rsidR="006C22AE" w:rsidRPr="00F347C5">
        <w:t xml:space="preserve"> </w:t>
      </w:r>
      <w:r w:rsidR="00E225DC">
        <w:t>Europäischen Datenschutzausschuss (EDPB)</w:t>
      </w:r>
      <w:r w:rsidR="00E225DC" w:rsidRPr="00F347C5">
        <w:t xml:space="preserve"> </w:t>
      </w:r>
      <w:r w:rsidRPr="00F347C5">
        <w:t>genehmigt</w:t>
      </w:r>
      <w:r w:rsidR="00E23E90" w:rsidRPr="00F347C5">
        <w:t xml:space="preserve"> wurde</w:t>
      </w:r>
      <w:r w:rsidRPr="00F347C5">
        <w:t xml:space="preserve">. </w:t>
      </w:r>
      <w:r w:rsidR="00F347C5" w:rsidRPr="00F347C5">
        <w:rPr>
          <w:color w:val="0B121E"/>
          <w:shd w:val="clear" w:color="auto" w:fill="FFFFFF"/>
        </w:rPr>
        <w:t xml:space="preserve">Die Zertifizierung nach dem Datenschutzsiegel hat in allen EU-Mitgliedstaaten Gültigkeit. Es ermöglicht Verantwortlichen und Verarbeitern in verschiedenen Ländern, das gleiche Maß an </w:t>
      </w:r>
      <w:r w:rsidR="00F347C5">
        <w:rPr>
          <w:color w:val="0B121E"/>
          <w:shd w:val="clear" w:color="auto" w:fill="FFFFFF"/>
        </w:rPr>
        <w:t>Konformität</w:t>
      </w:r>
      <w:r w:rsidR="00CB2C38">
        <w:rPr>
          <w:color w:val="0B121E"/>
          <w:shd w:val="clear" w:color="auto" w:fill="FFFFFF"/>
        </w:rPr>
        <w:t xml:space="preserve"> für ähnliche Datenv</w:t>
      </w:r>
      <w:r w:rsidR="00F347C5" w:rsidRPr="00F347C5">
        <w:rPr>
          <w:color w:val="0B121E"/>
          <w:shd w:val="clear" w:color="auto" w:fill="FFFFFF"/>
        </w:rPr>
        <w:t>erarbeitungsvorgänge zu erreichen.</w:t>
      </w:r>
    </w:p>
    <w:p w14:paraId="6DEE9EA2" w14:textId="77777777" w:rsidR="00F347C5" w:rsidRDefault="00F347C5" w:rsidP="00F347C5">
      <w:pPr>
        <w:pStyle w:val="P68B1DB1-Normal7"/>
        <w:jc w:val="both"/>
      </w:pPr>
    </w:p>
    <w:p w14:paraId="2014159D" w14:textId="77777777" w:rsidR="005C4047" w:rsidRDefault="00AA0A93">
      <w:pPr>
        <w:pStyle w:val="P68B1DB1-Normal6"/>
        <w:jc w:val="both"/>
      </w:pPr>
      <w:r>
        <w:t xml:space="preserve">Wissens- und Erfahrungsaustausch </w:t>
      </w:r>
    </w:p>
    <w:p w14:paraId="3D8DEF4B" w14:textId="77777777" w:rsidR="005C4047" w:rsidRDefault="005C4047">
      <w:pPr>
        <w:jc w:val="both"/>
        <w:rPr>
          <w:rFonts w:ascii="Arial" w:eastAsia="Calibri" w:hAnsi="Arial" w:cs="Arial"/>
          <w:sz w:val="22"/>
        </w:rPr>
      </w:pPr>
    </w:p>
    <w:p w14:paraId="0921E020" w14:textId="1ED6A0E9" w:rsidR="005C4047" w:rsidRDefault="00AA0A93">
      <w:pPr>
        <w:pStyle w:val="P68B1DB1-Normal7"/>
        <w:jc w:val="both"/>
      </w:pPr>
      <w:r>
        <w:t>Im vergangenen Jahr wurde die Nationale Kommission von</w:t>
      </w:r>
      <w:r w:rsidR="00F347C5">
        <w:t xml:space="preserve"> vielen</w:t>
      </w:r>
      <w:r>
        <w:t xml:space="preserve"> öffentlichen Akteuren, Unternehmen und Einzelpersonen</w:t>
      </w:r>
      <w:r w:rsidR="007B58FF">
        <w:t xml:space="preserve"> kontaktiert</w:t>
      </w:r>
      <w:r>
        <w:t xml:space="preserve">, die Fragen </w:t>
      </w:r>
      <w:r w:rsidR="007B58FF">
        <w:t>zum</w:t>
      </w:r>
      <w:r>
        <w:t xml:space="preserve"> Datenschutz</w:t>
      </w:r>
      <w:r w:rsidR="007B58FF">
        <w:t xml:space="preserve"> und zum Schutz der Privatsphäre hatten</w:t>
      </w:r>
      <w:r>
        <w:t xml:space="preserve">.  </w:t>
      </w:r>
    </w:p>
    <w:p w14:paraId="739FD0DD" w14:textId="77777777" w:rsidR="005C4047" w:rsidRDefault="005C4047">
      <w:pPr>
        <w:jc w:val="both"/>
        <w:rPr>
          <w:rFonts w:ascii="Arial" w:eastAsia="Calibri" w:hAnsi="Arial" w:cs="Arial"/>
          <w:sz w:val="22"/>
        </w:rPr>
      </w:pPr>
    </w:p>
    <w:p w14:paraId="551C92B0" w14:textId="2AE7C82A" w:rsidR="005C4047" w:rsidRDefault="00AA0A93">
      <w:pPr>
        <w:pStyle w:val="P68B1DB1-Normal4"/>
        <w:spacing w:line="259" w:lineRule="auto"/>
        <w:jc w:val="both"/>
      </w:pPr>
      <w:r>
        <w:t xml:space="preserve">Im Jahr 2022 gab die CNPD 32 Stellungnahmen </w:t>
      </w:r>
      <w:r w:rsidR="00732A89">
        <w:t xml:space="preserve">zu </w:t>
      </w:r>
      <w:r w:rsidR="00732A89" w:rsidRPr="00732A89">
        <w:t xml:space="preserve">Gesetzes- und Verordnungsentwürfen </w:t>
      </w:r>
      <w:r>
        <w:t xml:space="preserve">ab, </w:t>
      </w:r>
      <w:r w:rsidR="00732A89">
        <w:t>u</w:t>
      </w:r>
      <w:r w:rsidR="00393417">
        <w:t>nter anderen</w:t>
      </w:r>
      <w:r w:rsidR="00732A89">
        <w:t xml:space="preserve"> </w:t>
      </w:r>
      <w:r>
        <w:t xml:space="preserve">zu </w:t>
      </w:r>
      <w:r w:rsidR="00732A89">
        <w:t>Themen wie dem Schutz von Whistleblowern, erschwinglichem Wohnraum und dem</w:t>
      </w:r>
      <w:r>
        <w:t xml:space="preserve"> staatliche</w:t>
      </w:r>
      <w:r w:rsidR="00732A89">
        <w:t>n</w:t>
      </w:r>
      <w:r>
        <w:t xml:space="preserve"> Nachrichtendienst. Sie erhielt 354 Meldungen über Datenschutzverletzungen (die </w:t>
      </w:r>
      <w:r>
        <w:lastRenderedPageBreak/>
        <w:t xml:space="preserve">Hauptursache war menschliches Versagen) und 482 Beschwerden, die vor allem die Verletzung der Datenschutzrechte der betroffenen Personen betrafen. Von den 589 schriftlichen </w:t>
      </w:r>
      <w:r w:rsidR="00732A89">
        <w:t>Anfragen</w:t>
      </w:r>
      <w:r>
        <w:t xml:space="preserve">, die die CNPD im Jahr 2022 </w:t>
      </w:r>
      <w:r w:rsidR="00E225DC">
        <w:t>erhielt</w:t>
      </w:r>
      <w:r>
        <w:t xml:space="preserve">, betrafen die meisten die COVID-19-Pandemie, die Überwachung am Arbeitsplatz und </w:t>
      </w:r>
      <w:r w:rsidR="00732A89">
        <w:t>die</w:t>
      </w:r>
      <w:r>
        <w:t xml:space="preserve"> </w:t>
      </w:r>
      <w:r w:rsidR="00732A89">
        <w:rPr>
          <w:rFonts w:cs="Arial"/>
          <w:color w:val="0B121E"/>
          <w:shd w:val="clear" w:color="auto" w:fill="FFFFFF"/>
        </w:rPr>
        <w:t>Ausübung der Rechte der betroffenen Personen</w:t>
      </w:r>
      <w:r>
        <w:t xml:space="preserve">. </w:t>
      </w:r>
    </w:p>
    <w:p w14:paraId="44345310" w14:textId="77777777" w:rsidR="005C4047" w:rsidRDefault="005C4047">
      <w:pPr>
        <w:spacing w:line="259" w:lineRule="auto"/>
        <w:jc w:val="both"/>
        <w:rPr>
          <w:rFonts w:ascii="Arial" w:eastAsia="Calibri" w:hAnsi="Arial"/>
          <w:sz w:val="22"/>
        </w:rPr>
      </w:pPr>
    </w:p>
    <w:p w14:paraId="26636096" w14:textId="3A913CA4" w:rsidR="005C4047" w:rsidRDefault="00AA0A93">
      <w:pPr>
        <w:pStyle w:val="P68B1DB1-Normal4"/>
        <w:spacing w:line="259" w:lineRule="auto"/>
        <w:jc w:val="both"/>
      </w:pPr>
      <w:r>
        <w:t xml:space="preserve">Die Nationale Kommission </w:t>
      </w:r>
      <w:r w:rsidR="00F347C5">
        <w:t>hat</w:t>
      </w:r>
      <w:r>
        <w:t xml:space="preserve"> auch </w:t>
      </w:r>
      <w:r w:rsidR="00393417" w:rsidRPr="00393417">
        <w:t xml:space="preserve">verschiedene Maßnahmen im Bereich der Sensibilisierung ergriffen, darunter insbesondere </w:t>
      </w:r>
      <w:r w:rsidR="00393417">
        <w:t>die</w:t>
      </w:r>
      <w:r>
        <w:t xml:space="preserve"> Entwicklung von Schulungen, die Teilnahme an Konferenzen und Workshops </w:t>
      </w:r>
      <w:r w:rsidR="00393417">
        <w:t>und</w:t>
      </w:r>
      <w:r>
        <w:t xml:space="preserve"> die Veröffentlichung von Informationsmaterialien wie </w:t>
      </w:r>
      <w:r w:rsidR="00F347C5">
        <w:t xml:space="preserve">z.B. </w:t>
      </w:r>
      <w:r>
        <w:t>den Richtlinien</w:t>
      </w:r>
      <w:r w:rsidR="00F347C5">
        <w:t xml:space="preserve"> für Cookies und andere </w:t>
      </w:r>
      <w:proofErr w:type="spellStart"/>
      <w:r w:rsidR="00F347C5">
        <w:t>Tracker</w:t>
      </w:r>
      <w:proofErr w:type="spellEnd"/>
      <w:r w:rsidR="00F347C5">
        <w:t>.</w:t>
      </w:r>
      <w:r>
        <w:t xml:space="preserve">  </w:t>
      </w:r>
    </w:p>
    <w:p w14:paraId="4D7D10D1" w14:textId="77777777" w:rsidR="005C4047" w:rsidRDefault="005C4047">
      <w:pPr>
        <w:jc w:val="both"/>
        <w:rPr>
          <w:rFonts w:ascii="Arial" w:eastAsia="Calibri" w:hAnsi="Arial"/>
          <w:sz w:val="22"/>
        </w:rPr>
      </w:pPr>
    </w:p>
    <w:p w14:paraId="51FAEFDA" w14:textId="77777777" w:rsidR="005C4047" w:rsidRDefault="00AA0A93">
      <w:pPr>
        <w:pStyle w:val="P68B1DB1-Normal5"/>
        <w:spacing w:line="259" w:lineRule="auto"/>
        <w:jc w:val="both"/>
      </w:pPr>
      <w:r>
        <w:t>Zusammenarbeit auf europäischer Ebene</w:t>
      </w:r>
    </w:p>
    <w:p w14:paraId="22D05471" w14:textId="77777777" w:rsidR="005C4047" w:rsidRDefault="005C4047">
      <w:pPr>
        <w:spacing w:line="259" w:lineRule="auto"/>
        <w:jc w:val="both"/>
        <w:rPr>
          <w:rFonts w:ascii="Arial" w:eastAsia="Calibri" w:hAnsi="Arial"/>
          <w:b/>
          <w:sz w:val="22"/>
        </w:rPr>
      </w:pPr>
    </w:p>
    <w:p w14:paraId="41C0F5A1" w14:textId="603A2EB8" w:rsidR="00454B8F" w:rsidRDefault="00AA0A93">
      <w:pPr>
        <w:pStyle w:val="P68B1DB1-Normal4"/>
        <w:spacing w:line="259" w:lineRule="auto"/>
        <w:jc w:val="both"/>
      </w:pPr>
      <w:r>
        <w:t xml:space="preserve">Im April 2022 nahm die CNPD an einem hochrangigen Treffen des </w:t>
      </w:r>
      <w:r w:rsidR="008A41EB">
        <w:t>EDPB</w:t>
      </w:r>
      <w:r>
        <w:t xml:space="preserve"> in Wien teil. Ziel des Treffens war es, Möglichkeiten für eine engere Zusammenarbeit der Datenschutzbehörden bei strategischen Dossiers zu erörtern</w:t>
      </w:r>
      <w:r w:rsidR="00454B8F">
        <w:t xml:space="preserve">, sich </w:t>
      </w:r>
      <w:r>
        <w:t xml:space="preserve">auszutauschen und das Spektrum der angewandten Methoden der Zusammenarbeit zu diversifizieren. Seit </w:t>
      </w:r>
      <w:r w:rsidR="00454B8F">
        <w:t>diesem</w:t>
      </w:r>
      <w:r w:rsidR="00E42EA2">
        <w:t xml:space="preserve"> </w:t>
      </w:r>
      <w:r>
        <w:t xml:space="preserve">Treffen wurden mehrere Maßnahmen ergriffen, </w:t>
      </w:r>
      <w:r w:rsidR="00454B8F">
        <w:t xml:space="preserve">die </w:t>
      </w:r>
      <w:r>
        <w:t xml:space="preserve">zu einer besseren Zusammenarbeit zwischen den europäischen Datenschutzbehörden beitragen. </w:t>
      </w:r>
    </w:p>
    <w:p w14:paraId="2AEB7631" w14:textId="2322A66B" w:rsidR="005C4047" w:rsidRDefault="005C4047" w:rsidP="00E42EA2">
      <w:pPr>
        <w:pStyle w:val="P68B1DB1-Normal4"/>
        <w:spacing w:line="259" w:lineRule="auto"/>
        <w:jc w:val="both"/>
      </w:pPr>
    </w:p>
    <w:p w14:paraId="2621F20C" w14:textId="077C3F5B" w:rsidR="005C4047" w:rsidRDefault="00AA0A93">
      <w:pPr>
        <w:pStyle w:val="P68B1DB1-Normal4"/>
        <w:spacing w:line="259" w:lineRule="auto"/>
        <w:jc w:val="both"/>
      </w:pPr>
      <w:r>
        <w:t xml:space="preserve">Abgesehen von </w:t>
      </w:r>
      <w:r w:rsidR="00454B8F">
        <w:t xml:space="preserve">der </w:t>
      </w:r>
      <w:r>
        <w:t>Teilnahme an dieser Sitzung</w:t>
      </w:r>
      <w:r w:rsidR="00454B8F">
        <w:t>,</w:t>
      </w:r>
      <w:r>
        <w:t xml:space="preserve"> nahm die CNPD 2022 an </w:t>
      </w:r>
      <w:r w:rsidR="00454B8F">
        <w:t>Sitzungen der Vollversammlung</w:t>
      </w:r>
      <w:r>
        <w:t xml:space="preserve"> des </w:t>
      </w:r>
      <w:r w:rsidR="008A41EB">
        <w:t>EDPB</w:t>
      </w:r>
      <w:r w:rsidR="00CB2C38">
        <w:t xml:space="preserve"> teil sowie</w:t>
      </w:r>
      <w:r>
        <w:t xml:space="preserve"> </w:t>
      </w:r>
      <w:r w:rsidR="00CB2C38">
        <w:t xml:space="preserve">an Treffen von </w:t>
      </w:r>
      <w:r>
        <w:t xml:space="preserve">11 </w:t>
      </w:r>
      <w:r w:rsidR="00CB2C38">
        <w:t>thematischen Arbeitsgruppen und 3 Task-Forces</w:t>
      </w:r>
      <w:r>
        <w:t xml:space="preserve">, die für spezifische Aufgaben des Ausschusses eingerichtet wurden. Darüber hinaus spielte die Nationale Kommission weiterhin eine führende Rolle bei den Fortschritten der Arbeit des EDPB im Bereich der Zertifizierung, insbesondere als Berichterstatter für </w:t>
      </w:r>
      <w:r w:rsidR="008A41EB">
        <w:t>Richtlinien</w:t>
      </w:r>
      <w:r>
        <w:t xml:space="preserve"> oder </w:t>
      </w:r>
      <w:r w:rsidR="008A41EB">
        <w:t>bei der Veröffentlichung von</w:t>
      </w:r>
      <w:r>
        <w:t xml:space="preserve"> förmlichen Stellungnahmen zu diesem neuen Thema. </w:t>
      </w:r>
    </w:p>
    <w:p w14:paraId="7F4F6B55" w14:textId="77777777" w:rsidR="005C4047" w:rsidRDefault="005C4047">
      <w:pPr>
        <w:spacing w:line="259" w:lineRule="auto"/>
        <w:jc w:val="both"/>
        <w:rPr>
          <w:rFonts w:ascii="Arial" w:eastAsia="Calibri" w:hAnsi="Arial"/>
          <w:sz w:val="22"/>
        </w:rPr>
      </w:pPr>
    </w:p>
    <w:p w14:paraId="2E7BE9DD" w14:textId="17E19E1E" w:rsidR="005C4047" w:rsidRDefault="00B562C9">
      <w:pPr>
        <w:shd w:val="clear" w:color="auto" w:fill="FFFFFF" w:themeFill="background1"/>
        <w:spacing w:line="259" w:lineRule="auto"/>
        <w:jc w:val="both"/>
        <w:rPr>
          <w:rFonts w:ascii="Arial" w:eastAsia="Calibri" w:hAnsi="Arial"/>
          <w:b/>
          <w:sz w:val="22"/>
        </w:rPr>
      </w:pPr>
      <w:r w:rsidRPr="00B562C9">
        <w:rPr>
          <w:rFonts w:ascii="Arial" w:eastAsia="Calibri" w:hAnsi="Arial"/>
          <w:b/>
          <w:sz w:val="22"/>
        </w:rPr>
        <w:t>Zukunftsaussichten</w:t>
      </w:r>
    </w:p>
    <w:p w14:paraId="457B9933" w14:textId="77777777" w:rsidR="00B562C9" w:rsidRDefault="00B562C9">
      <w:pPr>
        <w:shd w:val="clear" w:color="auto" w:fill="FFFFFF" w:themeFill="background1"/>
        <w:spacing w:line="259" w:lineRule="auto"/>
        <w:jc w:val="both"/>
        <w:rPr>
          <w:rFonts w:ascii="Arial" w:eastAsia="Calibri" w:hAnsi="Arial"/>
          <w:b/>
          <w:sz w:val="22"/>
        </w:rPr>
      </w:pPr>
    </w:p>
    <w:p w14:paraId="62C78093" w14:textId="4F20271D" w:rsidR="005C4047" w:rsidRDefault="00AA0A93">
      <w:pPr>
        <w:pStyle w:val="P68B1DB1-Normal8"/>
        <w:spacing w:line="259" w:lineRule="auto"/>
        <w:jc w:val="both"/>
      </w:pPr>
      <w:r>
        <w:t xml:space="preserve">Heute mehr denn je </w:t>
      </w:r>
      <w:r w:rsidR="00F347C5">
        <w:t>wird</w:t>
      </w:r>
      <w:r>
        <w:t xml:space="preserve"> das Thema Daten</w:t>
      </w:r>
      <w:r w:rsidR="004E0E6B">
        <w:t>schutz</w:t>
      </w:r>
      <w:r>
        <w:t xml:space="preserve"> regelmäßig in den nationalen und internationalen Medien</w:t>
      </w:r>
      <w:r w:rsidR="00F347C5">
        <w:t xml:space="preserve"> behandelt</w:t>
      </w:r>
      <w:r>
        <w:t xml:space="preserve">. Cyberangriffe </w:t>
      </w:r>
      <w:r w:rsidR="00F347C5">
        <w:t>in Verbindung mit dem</w:t>
      </w:r>
      <w:r>
        <w:t xml:space="preserve"> Diebstahl von persönlichen Daten im großen Maßstab treten immer häufiger auf, Technologie- und Social-Media-Giganten werden Geldstrafen</w:t>
      </w:r>
      <w:r w:rsidR="00454B8F">
        <w:t xml:space="preserve"> in Million</w:t>
      </w:r>
      <w:r w:rsidR="00E42EA2">
        <w:t>en-</w:t>
      </w:r>
      <w:r w:rsidR="00454B8F">
        <w:t xml:space="preserve">Höhe </w:t>
      </w:r>
      <w:r>
        <w:t>für Daten</w:t>
      </w:r>
      <w:r w:rsidR="00F347C5">
        <w:t>schutzverletzungen auferlegt und</w:t>
      </w:r>
      <w:r>
        <w:t xml:space="preserve"> Chatbots, die künstliche Intelligenz verwenden, sorgen für Kontroversen. </w:t>
      </w:r>
    </w:p>
    <w:p w14:paraId="1A9C7793" w14:textId="77777777" w:rsidR="005C4047" w:rsidRDefault="005C4047">
      <w:pPr>
        <w:spacing w:line="259" w:lineRule="auto"/>
        <w:jc w:val="both"/>
        <w:rPr>
          <w:rFonts w:ascii="Arial" w:hAnsi="Arial" w:cs="Arial"/>
          <w:sz w:val="22"/>
        </w:rPr>
      </w:pPr>
    </w:p>
    <w:p w14:paraId="7FA3F2A7" w14:textId="01D565BE" w:rsidR="005C4047" w:rsidRDefault="00AA0A93">
      <w:pPr>
        <w:spacing w:line="259" w:lineRule="auto"/>
        <w:jc w:val="both"/>
        <w:rPr>
          <w:rFonts w:ascii="Arial" w:hAnsi="Arial" w:cs="Arial"/>
          <w:sz w:val="22"/>
        </w:rPr>
      </w:pPr>
      <w:r>
        <w:rPr>
          <w:rFonts w:ascii="Arial" w:hAnsi="Arial" w:cs="Arial"/>
          <w:sz w:val="22"/>
        </w:rPr>
        <w:t xml:space="preserve">Die CNPD bereitet sich darauf vor, ihre Rolle als Regulierungsbehörde anzupassen, insbesondere im Hinblick auf den neuen Rechtsrahmen auf europäischer Ebene, der sich auf die digitale Wirtschaft in ihren verschiedenen Aspekten bezieht. Der Digital Governance Act (DGA) ist für die CNPD von besonderer Bedeutung und zielt darauf ab, den Datenaustausch durch die Einrichtung von Vermittlungsstrukturen zu fördern, und der Artificial Intelligence Act (oder AI Act) legt klare Regeln und Pflichten für KI-Systeme </w:t>
      </w:r>
      <w:r w:rsidR="00840EBC">
        <w:rPr>
          <w:rFonts w:ascii="Arial" w:hAnsi="Arial" w:cs="Arial"/>
          <w:sz w:val="22"/>
        </w:rPr>
        <w:t>in Bezug auf Transparenz, Data Governance</w:t>
      </w:r>
      <w:r w:rsidR="00627F49">
        <w:rPr>
          <w:rFonts w:ascii="Arial" w:hAnsi="Arial" w:cs="Arial"/>
          <w:sz w:val="22"/>
        </w:rPr>
        <w:t xml:space="preserve"> </w:t>
      </w:r>
      <w:r>
        <w:rPr>
          <w:rFonts w:ascii="Arial" w:hAnsi="Arial" w:cs="Arial"/>
          <w:sz w:val="22"/>
        </w:rPr>
        <w:t xml:space="preserve">und Grundrechte fest. Das Legislativpaket umfasst auch das Datengesetz (Data Act, DA), das Gesetz über digitale Dienste (Digital Services Act, DSA) und das Gesetz über digitale Märkte (Digital Markets Act, DMA). Ziel des DA ist es, eine bessere Verteilung des Wertes aus der Nutzung der Daten zu gewährleisten, insbesondere im Zusammenhang mit der Nutzung vernetzter Objekte, während DSA und DMA die wirtschaftliche Dominanz großer Plattformen und die Online-Verbreitung illegaler Inhalte und Produkte begrenzen wollen. In </w:t>
      </w:r>
      <w:r w:rsidR="00EE15D5">
        <w:rPr>
          <w:rFonts w:ascii="Arial" w:hAnsi="Arial" w:cs="Arial"/>
          <w:sz w:val="22"/>
        </w:rPr>
        <w:t xml:space="preserve">Anbetracht der bevorstehenden Veränderungen </w:t>
      </w:r>
      <w:r>
        <w:rPr>
          <w:rFonts w:ascii="Arial" w:hAnsi="Arial" w:cs="Arial"/>
          <w:sz w:val="22"/>
        </w:rPr>
        <w:t xml:space="preserve">wird die Nationale Kommission ihr Personal </w:t>
      </w:r>
      <w:r w:rsidR="0035143E">
        <w:rPr>
          <w:rFonts w:ascii="Arial" w:hAnsi="Arial" w:cs="Arial"/>
          <w:sz w:val="22"/>
        </w:rPr>
        <w:t>und</w:t>
      </w:r>
      <w:r>
        <w:rPr>
          <w:rFonts w:ascii="Arial" w:hAnsi="Arial" w:cs="Arial"/>
          <w:sz w:val="22"/>
        </w:rPr>
        <w:t xml:space="preserve"> ihre Kompetenzen entsprechend den </w:t>
      </w:r>
      <w:r w:rsidR="00840EBC">
        <w:rPr>
          <w:rFonts w:ascii="Arial" w:hAnsi="Arial" w:cs="Arial"/>
          <w:sz w:val="22"/>
        </w:rPr>
        <w:t xml:space="preserve">bevorstehenden </w:t>
      </w:r>
      <w:r>
        <w:rPr>
          <w:rFonts w:ascii="Arial" w:hAnsi="Arial" w:cs="Arial"/>
          <w:sz w:val="22"/>
        </w:rPr>
        <w:t xml:space="preserve">technologischen und legislativen Entwicklungen </w:t>
      </w:r>
      <w:r w:rsidR="0035143E">
        <w:rPr>
          <w:rFonts w:ascii="Arial" w:hAnsi="Arial" w:cs="Arial"/>
          <w:sz w:val="22"/>
        </w:rPr>
        <w:t xml:space="preserve">weiter </w:t>
      </w:r>
      <w:r>
        <w:rPr>
          <w:rFonts w:ascii="Arial" w:hAnsi="Arial" w:cs="Arial"/>
          <w:sz w:val="22"/>
        </w:rPr>
        <w:t xml:space="preserve">ausbauen und die Zusammenarbeit mit anderen Regulierungsbehörden ausweiten. </w:t>
      </w:r>
    </w:p>
    <w:p w14:paraId="4FA0EFF8" w14:textId="77777777" w:rsidR="005C4047" w:rsidRDefault="005C4047">
      <w:pPr>
        <w:spacing w:line="259" w:lineRule="auto"/>
        <w:jc w:val="both"/>
        <w:rPr>
          <w:rFonts w:ascii="Arial" w:eastAsia="Calibri" w:hAnsi="Arial"/>
          <w:sz w:val="22"/>
        </w:rPr>
      </w:pPr>
    </w:p>
    <w:p w14:paraId="6C22EE4F" w14:textId="56F67562" w:rsidR="005C4047" w:rsidRDefault="00AA0A93">
      <w:pPr>
        <w:pStyle w:val="P68B1DB1-Normal8"/>
        <w:spacing w:line="259" w:lineRule="auto"/>
        <w:jc w:val="both"/>
      </w:pPr>
      <w:r>
        <w:t xml:space="preserve">Eines ist sicher: Fünf Jahre nach dem Inkrafttreten der DSGVO ist der Schutz personenbezogener Daten nach wie vor ein sehr aktuelles </w:t>
      </w:r>
      <w:r w:rsidR="00EE15D5">
        <w:t xml:space="preserve">Thema von </w:t>
      </w:r>
      <w:r>
        <w:t>wachsende</w:t>
      </w:r>
      <w:r w:rsidR="00EE15D5">
        <w:t>m Interesse</w:t>
      </w:r>
      <w:r>
        <w:t>.</w:t>
      </w:r>
    </w:p>
    <w:p w14:paraId="0ACAA547" w14:textId="31951F14" w:rsidR="005C4047" w:rsidRDefault="00AA0A93">
      <w:pPr>
        <w:pStyle w:val="P68B1DB1-Normal8"/>
        <w:spacing w:after="160" w:line="259" w:lineRule="auto"/>
      </w:pPr>
      <w:r>
        <w:rPr>
          <w:noProof/>
          <w:lang w:val="en-US"/>
        </w:rPr>
        <w:lastRenderedPageBreak/>
        <mc:AlternateContent>
          <mc:Choice Requires="wpg">
            <w:drawing>
              <wp:anchor distT="45720" distB="45720" distL="182880" distR="182880" simplePos="0" relativeHeight="251659264" behindDoc="0" locked="0" layoutInCell="1" allowOverlap="1" wp14:anchorId="635B343B" wp14:editId="7CBE430A">
                <wp:simplePos x="0" y="0"/>
                <wp:positionH relativeFrom="margin">
                  <wp:posOffset>60960</wp:posOffset>
                </wp:positionH>
                <wp:positionV relativeFrom="margin">
                  <wp:posOffset>234315</wp:posOffset>
                </wp:positionV>
                <wp:extent cx="6296025" cy="6285865"/>
                <wp:effectExtent l="0" t="0" r="28575" b="19685"/>
                <wp:wrapSquare wrapText="bothSides"/>
                <wp:docPr id="198" name="Group 198"/>
                <wp:cNvGraphicFramePr/>
                <a:graphic xmlns:a="http://schemas.openxmlformats.org/drawingml/2006/main">
                  <a:graphicData uri="http://schemas.microsoft.com/office/word/2010/wordprocessingGroup">
                    <wpg:wgp>
                      <wpg:cNvGrpSpPr/>
                      <wpg:grpSpPr>
                        <a:xfrm>
                          <a:off x="0" y="0"/>
                          <a:ext cx="6296025" cy="6285865"/>
                          <a:chOff x="0" y="63779"/>
                          <a:chExt cx="3567448" cy="3238011"/>
                        </a:xfrm>
                      </wpg:grpSpPr>
                      <wps:wsp>
                        <wps:cNvPr id="199" name="Rechteck 199"/>
                        <wps:cNvSpPr/>
                        <wps:spPr>
                          <a:xfrm>
                            <a:off x="0" y="63779"/>
                            <a:ext cx="3567448" cy="206826"/>
                          </a:xfrm>
                          <a:prstGeom prst="rect">
                            <a:avLst/>
                          </a:prstGeom>
                          <a:solidFill>
                            <a:srgbClr val="00476B"/>
                          </a:solidFill>
                          <a:ln>
                            <a:solidFill>
                              <a:srgbClr val="0047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AF5607" w14:textId="77777777" w:rsidR="005C4047" w:rsidRDefault="00AA0A93">
                              <w:pPr>
                                <w:pStyle w:val="P68B1DB1-Normal5"/>
                                <w:spacing w:line="259" w:lineRule="auto"/>
                                <w:jc w:val="both"/>
                                <w:rPr>
                                  <w:rFonts w:asciiTheme="majorHAnsi" w:eastAsiaTheme="majorEastAsia" w:hAnsiTheme="majorHAnsi" w:cstheme="majorBidi"/>
                                  <w:color w:val="FFFFFF" w:themeColor="background1"/>
                                </w:rPr>
                              </w:pPr>
                              <w:r>
                                <w:t xml:space="preserve">Das Jahr 2022 in Zahlen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3"/>
                            <a:ext cx="3567448" cy="3049107"/>
                          </a:xfrm>
                          <a:prstGeom prst="rect">
                            <a:avLst/>
                          </a:prstGeom>
                          <a:noFill/>
                          <a:ln w="6350">
                            <a:solidFill>
                              <a:srgbClr val="00476B"/>
                            </a:solidFill>
                          </a:ln>
                          <a:effectLst/>
                        </wps:spPr>
                        <wps:style>
                          <a:lnRef idx="0">
                            <a:schemeClr val="accent1"/>
                          </a:lnRef>
                          <a:fillRef idx="0">
                            <a:schemeClr val="accent1"/>
                          </a:fillRef>
                          <a:effectRef idx="0">
                            <a:schemeClr val="accent1"/>
                          </a:effectRef>
                          <a:fontRef idx="minor">
                            <a:schemeClr val="dk1"/>
                          </a:fontRef>
                        </wps:style>
                        <wps:txbx>
                          <w:txbxContent>
                            <w:p w14:paraId="6655A4BC" w14:textId="7B59C060" w:rsidR="005C4047" w:rsidRDefault="00AA0A93">
                              <w:pPr>
                                <w:pStyle w:val="P68B1DB1-Normal8"/>
                              </w:pPr>
                              <w:r>
                                <w:rPr>
                                  <w:b/>
                                </w:rPr>
                                <w:t>32</w:t>
                              </w:r>
                              <w:r>
                                <w:t xml:space="preserve"> Stellungnahmen (gegenüber 33 im Jahr 2021)</w:t>
                              </w:r>
                              <w:r w:rsidR="0035143E" w:rsidRPr="0035143E">
                                <w:t xml:space="preserve"> zu Gesetzes- und Verordnungsentwürfen</w:t>
                              </w:r>
                              <w:r w:rsidR="0035143E">
                                <w:t>, u.a. zu folgenden Themen</w:t>
                              </w:r>
                              <w:r>
                                <w:t>:</w:t>
                              </w:r>
                            </w:p>
                            <w:p w14:paraId="7E9DA9F1" w14:textId="0FE45C98" w:rsidR="005C4047" w:rsidRDefault="00AA0A93">
                              <w:pPr>
                                <w:pStyle w:val="P68B1DB1-ListParagraph9"/>
                                <w:numPr>
                                  <w:ilvl w:val="0"/>
                                  <w:numId w:val="2"/>
                                </w:numPr>
                                <w:jc w:val="both"/>
                              </w:pPr>
                              <w:r>
                                <w:t xml:space="preserve">Schutz </w:t>
                              </w:r>
                              <w:r w:rsidR="0081580C">
                                <w:t>der</w:t>
                              </w:r>
                              <w:r>
                                <w:t xml:space="preserve"> </w:t>
                              </w:r>
                              <w:r w:rsidR="0081580C">
                                <w:t>Whistleblower</w:t>
                              </w:r>
                              <w:r>
                                <w:t xml:space="preserve"> </w:t>
                              </w:r>
                            </w:p>
                            <w:p w14:paraId="018D871A" w14:textId="49BB645C" w:rsidR="005C4047" w:rsidRDefault="00F347C5">
                              <w:pPr>
                                <w:pStyle w:val="P68B1DB1-ListParagraph9"/>
                                <w:numPr>
                                  <w:ilvl w:val="0"/>
                                  <w:numId w:val="2"/>
                                </w:numPr>
                                <w:jc w:val="both"/>
                              </w:pPr>
                              <w:r>
                                <w:t>erschwinglicher</w:t>
                              </w:r>
                              <w:r w:rsidR="00AA0A93">
                                <w:t xml:space="preserve"> </w:t>
                              </w:r>
                              <w:r>
                                <w:t>Wohnraum</w:t>
                              </w:r>
                            </w:p>
                            <w:p w14:paraId="2D84B05C" w14:textId="4149AB2D" w:rsidR="005C4047" w:rsidRDefault="0081580C">
                              <w:pPr>
                                <w:pStyle w:val="P68B1DB1-ListParagraph9"/>
                                <w:numPr>
                                  <w:ilvl w:val="0"/>
                                  <w:numId w:val="2"/>
                                </w:numPr>
                                <w:jc w:val="both"/>
                              </w:pPr>
                              <w:r>
                                <w:t>Strafkette der Justiz („JU-CHA“)</w:t>
                              </w:r>
                            </w:p>
                            <w:p w14:paraId="566E90F0" w14:textId="259A4F4E" w:rsidR="005C4047" w:rsidRDefault="0081580C">
                              <w:pPr>
                                <w:pStyle w:val="P68B1DB1-ListParagraph9"/>
                                <w:numPr>
                                  <w:ilvl w:val="0"/>
                                  <w:numId w:val="2"/>
                                </w:numPr>
                                <w:jc w:val="both"/>
                              </w:pPr>
                              <w:r>
                                <w:t>E</w:t>
                              </w:r>
                              <w:r w:rsidR="00AA0A93">
                                <w:t xml:space="preserve">-Wallet (Personalausweis + Führerschein) </w:t>
                              </w:r>
                            </w:p>
                            <w:p w14:paraId="6ABB3285" w14:textId="2BE11863" w:rsidR="005C4047" w:rsidRDefault="00AA0A93">
                              <w:pPr>
                                <w:pStyle w:val="P68B1DB1-ListParagraph9"/>
                                <w:numPr>
                                  <w:ilvl w:val="0"/>
                                  <w:numId w:val="2"/>
                                </w:numPr>
                                <w:jc w:val="both"/>
                              </w:pPr>
                              <w:r>
                                <w:t xml:space="preserve">Organisation des Strom- und Gasmarktes </w:t>
                              </w:r>
                            </w:p>
                            <w:p w14:paraId="67CF2462" w14:textId="2E74BEA8" w:rsidR="0081580C" w:rsidRDefault="00AA0A93" w:rsidP="0081580C">
                              <w:pPr>
                                <w:pStyle w:val="P68B1DB1-ListParagraph9"/>
                                <w:numPr>
                                  <w:ilvl w:val="0"/>
                                  <w:numId w:val="2"/>
                                </w:numPr>
                                <w:shd w:val="clear" w:color="auto" w:fill="FFFFFF" w:themeFill="background1"/>
                                <w:jc w:val="both"/>
                              </w:pPr>
                              <w:r>
                                <w:t>Nationale Gesellschaft für Kfz-</w:t>
                              </w:r>
                              <w:r w:rsidR="0081580C">
                                <w:t>Verkehr („</w:t>
                              </w:r>
                              <w:proofErr w:type="spellStart"/>
                              <w:r w:rsidR="0081580C" w:rsidRPr="0081580C">
                                <w:t>Société</w:t>
                              </w:r>
                              <w:proofErr w:type="spellEnd"/>
                              <w:r w:rsidR="0081580C" w:rsidRPr="0081580C">
                                <w:t xml:space="preserve"> Nationale d</w:t>
                              </w:r>
                              <w:r w:rsidR="0081580C">
                                <w:t xml:space="preserve">e </w:t>
                              </w:r>
                              <w:proofErr w:type="spellStart"/>
                              <w:r w:rsidR="0081580C">
                                <w:t>Circulation</w:t>
                              </w:r>
                              <w:proofErr w:type="spellEnd"/>
                              <w:r w:rsidR="0081580C">
                                <w:t xml:space="preserve"> Automobile – SNCA“)</w:t>
                              </w:r>
                              <w:r>
                                <w:t xml:space="preserve"> </w:t>
                              </w:r>
                            </w:p>
                            <w:p w14:paraId="2A8E0D0E" w14:textId="188E9932" w:rsidR="005C4047" w:rsidRDefault="0081580C">
                              <w:pPr>
                                <w:pStyle w:val="P68B1DB1-ListParagraph9"/>
                                <w:numPr>
                                  <w:ilvl w:val="0"/>
                                  <w:numId w:val="2"/>
                                </w:numPr>
                                <w:shd w:val="clear" w:color="auto" w:fill="FFFFFF" w:themeFill="background1"/>
                                <w:jc w:val="both"/>
                              </w:pPr>
                              <w:r>
                                <w:t>individuelle</w:t>
                              </w:r>
                              <w:r w:rsidR="00AA0A93">
                                <w:t xml:space="preserve"> Wohnbeihilfen</w:t>
                              </w:r>
                            </w:p>
                            <w:p w14:paraId="2697ABC7" w14:textId="3197D39B" w:rsidR="005C4047" w:rsidRDefault="00AA0A93">
                              <w:pPr>
                                <w:pStyle w:val="P68B1DB1-ListParagraph9"/>
                                <w:numPr>
                                  <w:ilvl w:val="0"/>
                                  <w:numId w:val="2"/>
                                </w:numPr>
                                <w:shd w:val="clear" w:color="auto" w:fill="FFFFFF" w:themeFill="background1"/>
                                <w:jc w:val="both"/>
                              </w:pPr>
                              <w:r>
                                <w:t>Nachrichtendienst des Staates</w:t>
                              </w:r>
                            </w:p>
                            <w:p w14:paraId="23A5B508" w14:textId="77777777" w:rsidR="005C4047" w:rsidRDefault="005C4047">
                              <w:pPr>
                                <w:rPr>
                                  <w:rFonts w:ascii="Arial" w:hAnsi="Arial" w:cs="Arial"/>
                                  <w:caps/>
                                  <w:sz w:val="22"/>
                                </w:rPr>
                              </w:pPr>
                            </w:p>
                            <w:p w14:paraId="271EAF2D" w14:textId="7EBBD474" w:rsidR="005C4047" w:rsidRDefault="00AA0A93">
                              <w:pPr>
                                <w:pStyle w:val="P68B1DB1-Normal8"/>
                              </w:pPr>
                              <w:r>
                                <w:rPr>
                                  <w:b/>
                                </w:rPr>
                                <w:t>589</w:t>
                              </w:r>
                              <w:r>
                                <w:t xml:space="preserve"> schriftliche </w:t>
                              </w:r>
                              <w:r w:rsidR="0081580C">
                                <w:t>Anfragen</w:t>
                              </w:r>
                              <w:r>
                                <w:t xml:space="preserve"> (gegenüber 618 im Jahr 2021)</w:t>
                              </w:r>
                            </w:p>
                            <w:p w14:paraId="5F331ED2" w14:textId="3B1D2CF4" w:rsidR="005C4047" w:rsidRDefault="00AA0A93">
                              <w:pPr>
                                <w:pStyle w:val="P68B1DB1-Normal8"/>
                              </w:pPr>
                              <w:r>
                                <w:t>Die drei Hauptk</w:t>
                              </w:r>
                              <w:r w:rsidR="00840EBC">
                                <w:t>ategorien von Anträgen betrafen</w:t>
                              </w:r>
                              <w:r>
                                <w:t>:</w:t>
                              </w:r>
                            </w:p>
                            <w:p w14:paraId="47325773" w14:textId="6C88F239" w:rsidR="005C4047" w:rsidRPr="00840EBC" w:rsidRDefault="00AA0A93" w:rsidP="0081580C">
                              <w:pPr>
                                <w:pStyle w:val="P68B1DB1-ListParagraph9"/>
                                <w:numPr>
                                  <w:ilvl w:val="0"/>
                                  <w:numId w:val="6"/>
                                </w:numPr>
                                <w:rPr>
                                  <w:lang w:val="en-US"/>
                                </w:rPr>
                              </w:pPr>
                              <w:r w:rsidRPr="00840EBC">
                                <w:rPr>
                                  <w:lang w:val="en-US"/>
                                </w:rPr>
                                <w:t xml:space="preserve">COVID-19-Pandemie </w:t>
                              </w:r>
                              <w:r w:rsidR="00840EBC" w:rsidRPr="00840EBC">
                                <w:rPr>
                                  <w:lang w:val="en-US"/>
                                </w:rPr>
                                <w:t>(„C</w:t>
                              </w:r>
                              <w:r w:rsidR="0081580C" w:rsidRPr="00840EBC">
                                <w:rPr>
                                  <w:lang w:val="en-US"/>
                                </w:rPr>
                                <w:t xml:space="preserve">ontact tracing“, die </w:t>
                              </w:r>
                              <w:proofErr w:type="spellStart"/>
                              <w:r w:rsidR="0081580C" w:rsidRPr="00840EBC">
                                <w:rPr>
                                  <w:lang w:val="en-US"/>
                                </w:rPr>
                                <w:t>Messung</w:t>
                              </w:r>
                              <w:proofErr w:type="spellEnd"/>
                              <w:r w:rsidR="0081580C" w:rsidRPr="00840EBC">
                                <w:rPr>
                                  <w:lang w:val="en-US"/>
                                </w:rPr>
                                <w:t xml:space="preserve"> der </w:t>
                              </w:r>
                              <w:proofErr w:type="spellStart"/>
                              <w:r w:rsidR="0081580C" w:rsidRPr="00840EBC">
                                <w:rPr>
                                  <w:lang w:val="en-US"/>
                                </w:rPr>
                                <w:t>Körpertemperatur</w:t>
                              </w:r>
                              <w:proofErr w:type="spellEnd"/>
                              <w:r w:rsidR="0081580C" w:rsidRPr="00840EBC">
                                <w:rPr>
                                  <w:lang w:val="en-US"/>
                                </w:rPr>
                                <w:t xml:space="preserve">, </w:t>
                              </w:r>
                              <w:r w:rsidR="00840EBC" w:rsidRPr="00840EBC">
                                <w:rPr>
                                  <w:lang w:val="en-US"/>
                                </w:rPr>
                                <w:t>Home office</w:t>
                              </w:r>
                              <w:r w:rsidR="0081580C" w:rsidRPr="00840EBC">
                                <w:rPr>
                                  <w:lang w:val="en-US"/>
                                </w:rPr>
                                <w:t xml:space="preserve">, Homeschooling </w:t>
                              </w:r>
                              <w:proofErr w:type="spellStart"/>
                              <w:r w:rsidR="0081580C" w:rsidRPr="00840EBC">
                                <w:rPr>
                                  <w:lang w:val="en-US"/>
                                </w:rPr>
                                <w:t>usw</w:t>
                              </w:r>
                              <w:proofErr w:type="spellEnd"/>
                              <w:r w:rsidR="0081580C" w:rsidRPr="00840EBC">
                                <w:rPr>
                                  <w:lang w:val="en-US"/>
                                </w:rPr>
                                <w:t>.)</w:t>
                              </w:r>
                            </w:p>
                            <w:p w14:paraId="7151A599" w14:textId="00BB0DEB" w:rsidR="005C4047" w:rsidRDefault="00840EBC">
                              <w:pPr>
                                <w:pStyle w:val="P68B1DB1-ListParagraph9"/>
                                <w:numPr>
                                  <w:ilvl w:val="0"/>
                                  <w:numId w:val="6"/>
                                </w:numPr>
                              </w:pPr>
                              <w:r>
                                <w:t>Überwachung am Arbeitsplatz</w:t>
                              </w:r>
                            </w:p>
                            <w:p w14:paraId="644AE214" w14:textId="76ADAEAA" w:rsidR="005C4047" w:rsidRDefault="0081580C">
                              <w:pPr>
                                <w:pStyle w:val="P68B1DB1-ListParagraph9"/>
                                <w:numPr>
                                  <w:ilvl w:val="0"/>
                                  <w:numId w:val="6"/>
                                </w:numPr>
                              </w:pPr>
                              <w:r>
                                <w:t>die</w:t>
                              </w:r>
                              <w:r w:rsidR="00AA0A93">
                                <w:t xml:space="preserve"> Recht</w:t>
                              </w:r>
                              <w:r>
                                <w:t>e</w:t>
                              </w:r>
                              <w:r w:rsidR="00AA0A93">
                                <w:t xml:space="preserve"> der betroffenen Personen (Zugangs</w:t>
                              </w:r>
                              <w:r w:rsidR="00840EBC">
                                <w:t>recht, Recht auf Löschung usw.)</w:t>
                              </w:r>
                            </w:p>
                            <w:p w14:paraId="27D01114" w14:textId="77777777" w:rsidR="005C4047" w:rsidRDefault="005C4047">
                              <w:pPr>
                                <w:rPr>
                                  <w:rFonts w:ascii="Arial" w:hAnsi="Arial" w:cs="Arial"/>
                                  <w:sz w:val="22"/>
                                </w:rPr>
                              </w:pPr>
                            </w:p>
                            <w:p w14:paraId="742BF0BF" w14:textId="77777777" w:rsidR="005C4047" w:rsidRDefault="00AA0A93">
                              <w:pPr>
                                <w:pStyle w:val="P68B1DB1-Normal8"/>
                              </w:pPr>
                              <w:r>
                                <w:rPr>
                                  <w:b/>
                                </w:rPr>
                                <w:t>482</w:t>
                              </w:r>
                              <w:r>
                                <w:t xml:space="preserve"> Beschwerden (gegenüber 512 im Jahr 2021)</w:t>
                              </w:r>
                            </w:p>
                            <w:p w14:paraId="54BFD056" w14:textId="77777777" w:rsidR="005C4047" w:rsidRDefault="00AA0A93">
                              <w:pPr>
                                <w:pStyle w:val="P68B1DB1-Normal8"/>
                              </w:pPr>
                              <w:r>
                                <w:t>Hauptgründe:</w:t>
                              </w:r>
                            </w:p>
                            <w:p w14:paraId="5DA8644F" w14:textId="1C8F231D" w:rsidR="005C4047" w:rsidRDefault="00AA0A93" w:rsidP="00840EBC">
                              <w:pPr>
                                <w:pStyle w:val="P68B1DB1-ListParagraph9"/>
                                <w:numPr>
                                  <w:ilvl w:val="0"/>
                                  <w:numId w:val="6"/>
                                </w:numPr>
                                <w:jc w:val="both"/>
                              </w:pPr>
                              <w:r>
                                <w:t>Antrag auf Löschung oder</w:t>
                              </w:r>
                              <w:r w:rsidR="00840EBC">
                                <w:t xml:space="preserve"> Berichtigung nicht erfüllt (21</w:t>
                              </w:r>
                              <w:r>
                                <w:t>%)</w:t>
                              </w:r>
                            </w:p>
                            <w:p w14:paraId="201D0836" w14:textId="2DB901D7" w:rsidR="005C4047" w:rsidRDefault="00AA0A93" w:rsidP="00840EBC">
                              <w:pPr>
                                <w:pStyle w:val="P68B1DB1-ListParagraph9"/>
                                <w:numPr>
                                  <w:ilvl w:val="0"/>
                                  <w:numId w:val="6"/>
                                </w:numPr>
                                <w:jc w:val="both"/>
                              </w:pPr>
                              <w:r>
                                <w:t>V</w:t>
                              </w:r>
                              <w:r w:rsidR="00840EBC">
                                <w:t>erletzung des Zugangsrechts (15</w:t>
                              </w:r>
                              <w:r>
                                <w:t>%)</w:t>
                              </w:r>
                            </w:p>
                            <w:p w14:paraId="14D0CD78" w14:textId="04D52AB5" w:rsidR="005C4047" w:rsidRDefault="00840EBC" w:rsidP="00840EBC">
                              <w:pPr>
                                <w:pStyle w:val="P68B1DB1-ListParagraph9"/>
                                <w:numPr>
                                  <w:ilvl w:val="0"/>
                                  <w:numId w:val="6"/>
                                </w:numPr>
                                <w:jc w:val="both"/>
                              </w:pPr>
                              <w:r>
                                <w:t>Unr</w:t>
                              </w:r>
                              <w:r w:rsidR="00AA0A93">
                                <w:t>e</w:t>
                              </w:r>
                              <w:r>
                                <w:t>chtmäßigkeit der Behandlung (15</w:t>
                              </w:r>
                              <w:r w:rsidR="00AA0A93">
                                <w:t>%)</w:t>
                              </w:r>
                            </w:p>
                            <w:p w14:paraId="296743DF" w14:textId="77777777" w:rsidR="005C4047" w:rsidRDefault="005C4047">
                              <w:pPr>
                                <w:rPr>
                                  <w:rFonts w:ascii="Arial" w:hAnsi="Arial" w:cs="Arial"/>
                                  <w:sz w:val="22"/>
                                  <w:highlight w:val="yellow"/>
                                </w:rPr>
                              </w:pPr>
                            </w:p>
                            <w:p w14:paraId="79A37C3A" w14:textId="77777777" w:rsidR="005C4047" w:rsidRDefault="00AA0A93">
                              <w:pPr>
                                <w:pStyle w:val="P68B1DB1-Normal8"/>
                              </w:pPr>
                              <w:r>
                                <w:rPr>
                                  <w:b/>
                                </w:rPr>
                                <w:t xml:space="preserve">354 </w:t>
                              </w:r>
                              <w:r>
                                <w:t>Meldungen von Datenschutzverletzungen (gegenüber 333 im Jahr 2021)</w:t>
                              </w:r>
                            </w:p>
                            <w:p w14:paraId="0FE1C272" w14:textId="641F8004" w:rsidR="005C4047" w:rsidRDefault="00AA0A93">
                              <w:pPr>
                                <w:pStyle w:val="P68B1DB1-Normal8"/>
                              </w:pPr>
                              <w:r>
                                <w:t>Haupturs</w:t>
                              </w:r>
                              <w:r w:rsidR="00840EBC">
                                <w:t>ache: menschliches Versagen (63</w:t>
                              </w:r>
                              <w:r>
                                <w:t>%)</w:t>
                              </w:r>
                            </w:p>
                            <w:p w14:paraId="62ED4F2D" w14:textId="77777777" w:rsidR="005C4047" w:rsidRDefault="005C4047">
                              <w:pPr>
                                <w:rPr>
                                  <w:rFonts w:ascii="Arial" w:hAnsi="Arial" w:cs="Arial"/>
                                  <w:sz w:val="22"/>
                                </w:rPr>
                              </w:pPr>
                            </w:p>
                            <w:p w14:paraId="4503614A" w14:textId="77777777" w:rsidR="005C4047" w:rsidRDefault="00AA0A93">
                              <w:pPr>
                                <w:pStyle w:val="P68B1DB1-Normal8"/>
                              </w:pPr>
                              <w:r>
                                <w:rPr>
                                  <w:b/>
                                </w:rPr>
                                <w:t>10</w:t>
                              </w:r>
                              <w:r>
                                <w:t xml:space="preserve"> Untersuchungen</w:t>
                              </w:r>
                            </w:p>
                            <w:p w14:paraId="2DB83BF6" w14:textId="77777777" w:rsidR="005C4047" w:rsidRDefault="00AA0A93">
                              <w:pPr>
                                <w:pStyle w:val="P68B1DB1-ListParagraph9"/>
                                <w:numPr>
                                  <w:ilvl w:val="0"/>
                                  <w:numId w:val="6"/>
                                </w:numPr>
                              </w:pPr>
                              <w:r>
                                <w:rPr>
                                  <w:b/>
                                </w:rPr>
                                <w:t>Prüfungen</w:t>
                              </w:r>
                              <w:r>
                                <w:t xml:space="preserve"> im Rahmen von Ermittlungen zur Ernennung eines Datenschutzbeauftragten gegen sechs Gemeindeverwaltungen</w:t>
                              </w:r>
                              <w:bookmarkStart w:id="0" w:name="_GoBack"/>
                              <w:bookmarkEnd w:id="0"/>
                            </w:p>
                            <w:p w14:paraId="0FE10B4F" w14:textId="3C94F1F0" w:rsidR="005C4047" w:rsidRDefault="0081580C">
                              <w:pPr>
                                <w:pStyle w:val="P68B1DB1-ListParagraph9"/>
                                <w:numPr>
                                  <w:ilvl w:val="0"/>
                                  <w:numId w:val="6"/>
                                </w:numPr>
                                <w:jc w:val="both"/>
                              </w:pPr>
                              <w:r>
                                <w:rPr>
                                  <w:rStyle w:val="Strong"/>
                                  <w:color w:val="0B121E"/>
                                  <w:shd w:val="clear" w:color="auto" w:fill="FFFFFF"/>
                                </w:rPr>
                                <w:t>Vor-Ort-Untersuchungen</w:t>
                              </w:r>
                              <w:r>
                                <w:t xml:space="preserve"> </w:t>
                              </w:r>
                              <w:r w:rsidR="00AA0A93">
                                <w:t>im Rahmen der Analyse der DSGVO-Konformität von Videoüberwachungsgeräten in privaten Einrichtungen und Schulen</w:t>
                              </w:r>
                            </w:p>
                            <w:p w14:paraId="477B9F5B" w14:textId="77777777" w:rsidR="005C4047" w:rsidRDefault="005C4047">
                              <w:pPr>
                                <w:rPr>
                                  <w:rFonts w:ascii="Arial" w:hAnsi="Arial" w:cs="Arial"/>
                                  <w:sz w:val="22"/>
                                </w:rPr>
                              </w:pPr>
                            </w:p>
                            <w:p w14:paraId="6C9D2EBD" w14:textId="1354F903" w:rsidR="005C4047" w:rsidRDefault="00AA0A93">
                              <w:pPr>
                                <w:pStyle w:val="P68B1DB1-Normal8"/>
                              </w:pPr>
                              <w:r>
                                <w:rPr>
                                  <w:b/>
                                </w:rPr>
                                <w:t>24</w:t>
                              </w:r>
                              <w:r>
                                <w:t xml:space="preserve"> </w:t>
                              </w:r>
                              <w:r w:rsidR="0039112F">
                                <w:t>Beschlüsse</w:t>
                              </w:r>
                              <w:r w:rsidRPr="00840EBC">
                                <w:t>,</w:t>
                              </w:r>
                              <w:r>
                                <w:rPr>
                                  <w:b/>
                                </w:rPr>
                                <w:t xml:space="preserve"> </w:t>
                              </w:r>
                              <w:r w:rsidRPr="00AA0A93">
                                <w:t>Geldbußen</w:t>
                              </w:r>
                              <w:r w:rsidR="00645021">
                                <w:t xml:space="preserve"> in Höhe von </w:t>
                              </w:r>
                              <w:r w:rsidR="00645021">
                                <w:rPr>
                                  <w:b/>
                                </w:rPr>
                                <w:t>48 375 </w:t>
                              </w:r>
                              <w:r w:rsidR="00645021" w:rsidRPr="00AA0A93">
                                <w:rPr>
                                  <w:b/>
                                  <w:szCs w:val="22"/>
                                  <w:lang w:val="de-DE"/>
                                </w:rPr>
                                <w:t>€</w:t>
                              </w:r>
                            </w:p>
                            <w:p w14:paraId="6516E9D7" w14:textId="77777777" w:rsidR="005C4047" w:rsidRDefault="005C4047">
                              <w:pPr>
                                <w:rPr>
                                  <w:rFonts w:ascii="Arial" w:hAnsi="Arial" w:cs="Arial"/>
                                  <w:sz w:val="22"/>
                                </w:rPr>
                              </w:pPr>
                            </w:p>
                            <w:p w14:paraId="3B15CD93" w14:textId="77777777" w:rsidR="005C4047" w:rsidRDefault="005C4047">
                              <w:pPr>
                                <w:rPr>
                                  <w:rFonts w:ascii="Arial" w:hAnsi="Arial" w:cs="Arial"/>
                                  <w:sz w:val="22"/>
                                </w:rPr>
                              </w:pPr>
                            </w:p>
                            <w:p w14:paraId="4E7C4C87" w14:textId="77777777" w:rsidR="005C4047" w:rsidRDefault="005C4047">
                              <w:pPr>
                                <w:rPr>
                                  <w:rFonts w:ascii="Arial" w:hAnsi="Arial" w:cs="Arial"/>
                                  <w:caps/>
                                  <w:sz w:val="22"/>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5B343B" id="Group 198" o:spid="_x0000_s1026" style="position:absolute;margin-left:4.8pt;margin-top:18.45pt;width:495.75pt;height:494.95pt;z-index:251659264;mso-wrap-distance-left:14.4pt;mso-wrap-distance-top:3.6pt;mso-wrap-distance-right:14.4pt;mso-wrap-distance-bottom:3.6pt;mso-position-horizontal-relative:margin;mso-position-vertical-relative:margin;mso-width-relative:margin;mso-height-relative:margin" coordorigin=",637" coordsize="35674,3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">
                <v:rect id="Rechteck 199" o:spid="_x0000_s1027" style="position:absolute;top:637;width:35674;height:2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" fillcolor="#00476b" strokecolor="#00476b" strokeweight="1pt">
                  <v:textbox>
                    <w:txbxContent>
                      <w:p w14:paraId="1DAF5607" w14:textId="77777777" w:rsidR="005C4047" w:rsidRDefault="00AA0A93">
                        <w:pPr>
                          <w:pStyle w:val="P68B1DB1-Normal5"/>
                          <w:spacing w:line="259" w:lineRule="auto"/>
                          <w:jc w:val="both"/>
                          <w:rPr>
                            <w:rFonts w:asciiTheme="majorHAnsi" w:eastAsiaTheme="majorEastAsia" w:hAnsiTheme="majorHAnsi" w:cstheme="majorBidi"/>
                            <w:color w:val="FFFFFF" w:themeColor="background1"/>
                          </w:rPr>
                        </w:pPr>
                        <w:r>
                          <w:t xml:space="preserve">Das Jahr 2022 in Zahlen </w:t>
                        </w: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304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" filled="f" strokecolor="#00476b" strokeweight=".5pt">
                  <v:textbox inset=",7.2pt,,0">
                    <w:txbxContent>
                      <w:p w14:paraId="6655A4BC" w14:textId="7B59C060" w:rsidR="005C4047" w:rsidRDefault="00AA0A93">
                        <w:pPr>
                          <w:pStyle w:val="P68B1DB1-Normal8"/>
                        </w:pPr>
                        <w:r>
                          <w:rPr>
                            <w:b/>
                          </w:rPr>
                          <w:t>32</w:t>
                        </w:r>
                        <w:r>
                          <w:t xml:space="preserve"> Stellungnahmen (gegenüber 33 im Jahr 2021)</w:t>
                        </w:r>
                        <w:r w:rsidR="0035143E" w:rsidRPr="0035143E">
                          <w:t xml:space="preserve"> zu Gesetzes- und Verordnungsentwürfen</w:t>
                        </w:r>
                        <w:r w:rsidR="0035143E">
                          <w:t>, u.a. zu folgenden Themen</w:t>
                        </w:r>
                        <w:r>
                          <w:t>:</w:t>
                        </w:r>
                      </w:p>
                      <w:p w14:paraId="7E9DA9F1" w14:textId="0FE45C98" w:rsidR="005C4047" w:rsidRDefault="00AA0A93">
                        <w:pPr>
                          <w:pStyle w:val="P68B1DB1-ListParagraph9"/>
                          <w:numPr>
                            <w:ilvl w:val="0"/>
                            <w:numId w:val="2"/>
                          </w:numPr>
                          <w:jc w:val="both"/>
                        </w:pPr>
                        <w:r>
                          <w:t xml:space="preserve">Schutz </w:t>
                        </w:r>
                        <w:r w:rsidR="0081580C">
                          <w:t>der</w:t>
                        </w:r>
                        <w:r>
                          <w:t xml:space="preserve"> </w:t>
                        </w:r>
                        <w:r w:rsidR="0081580C">
                          <w:t>Whistleblower</w:t>
                        </w:r>
                        <w:r>
                          <w:t xml:space="preserve"> </w:t>
                        </w:r>
                      </w:p>
                      <w:p w14:paraId="018D871A" w14:textId="49BB645C" w:rsidR="005C4047" w:rsidRDefault="00F347C5">
                        <w:pPr>
                          <w:pStyle w:val="P68B1DB1-ListParagraph9"/>
                          <w:numPr>
                            <w:ilvl w:val="0"/>
                            <w:numId w:val="2"/>
                          </w:numPr>
                          <w:jc w:val="both"/>
                        </w:pPr>
                        <w:r>
                          <w:t>erschwinglicher</w:t>
                        </w:r>
                        <w:r w:rsidR="00AA0A93">
                          <w:t xml:space="preserve"> </w:t>
                        </w:r>
                        <w:r>
                          <w:t>Wohnraum</w:t>
                        </w:r>
                      </w:p>
                      <w:p w14:paraId="2D84B05C" w14:textId="4149AB2D" w:rsidR="005C4047" w:rsidRDefault="0081580C">
                        <w:pPr>
                          <w:pStyle w:val="P68B1DB1-ListParagraph9"/>
                          <w:numPr>
                            <w:ilvl w:val="0"/>
                            <w:numId w:val="2"/>
                          </w:numPr>
                          <w:jc w:val="both"/>
                        </w:pPr>
                        <w:r>
                          <w:t>Strafkette der Justiz („JU-CHA“)</w:t>
                        </w:r>
                      </w:p>
                      <w:p w14:paraId="566E90F0" w14:textId="259A4F4E" w:rsidR="005C4047" w:rsidRDefault="0081580C">
                        <w:pPr>
                          <w:pStyle w:val="P68B1DB1-ListParagraph9"/>
                          <w:numPr>
                            <w:ilvl w:val="0"/>
                            <w:numId w:val="2"/>
                          </w:numPr>
                          <w:jc w:val="both"/>
                        </w:pPr>
                        <w:r>
                          <w:t>E</w:t>
                        </w:r>
                        <w:r w:rsidR="00AA0A93">
                          <w:t xml:space="preserve">-Wallet (Personalausweis + Führerschein) </w:t>
                        </w:r>
                      </w:p>
                      <w:p w14:paraId="6ABB3285" w14:textId="2BE11863" w:rsidR="005C4047" w:rsidRDefault="00AA0A93">
                        <w:pPr>
                          <w:pStyle w:val="P68B1DB1-ListParagraph9"/>
                          <w:numPr>
                            <w:ilvl w:val="0"/>
                            <w:numId w:val="2"/>
                          </w:numPr>
                          <w:jc w:val="both"/>
                        </w:pPr>
                        <w:r>
                          <w:t xml:space="preserve">Organisation des Strom- und Gasmarktes </w:t>
                        </w:r>
                      </w:p>
                      <w:p w14:paraId="67CF2462" w14:textId="2E74BEA8" w:rsidR="0081580C" w:rsidRDefault="00AA0A93" w:rsidP="0081580C">
                        <w:pPr>
                          <w:pStyle w:val="P68B1DB1-ListParagraph9"/>
                          <w:numPr>
                            <w:ilvl w:val="0"/>
                            <w:numId w:val="2"/>
                          </w:numPr>
                          <w:shd w:val="clear" w:color="auto" w:fill="FFFFFF" w:themeFill="background1"/>
                          <w:jc w:val="both"/>
                        </w:pPr>
                        <w:r>
                          <w:t>Nationale Gesellschaft für Kfz-</w:t>
                        </w:r>
                        <w:r w:rsidR="0081580C">
                          <w:t>Verkehr („</w:t>
                        </w:r>
                        <w:proofErr w:type="spellStart"/>
                        <w:r w:rsidR="0081580C" w:rsidRPr="0081580C">
                          <w:t>Société</w:t>
                        </w:r>
                        <w:proofErr w:type="spellEnd"/>
                        <w:r w:rsidR="0081580C" w:rsidRPr="0081580C">
                          <w:t xml:space="preserve"> Nationale d</w:t>
                        </w:r>
                        <w:r w:rsidR="0081580C">
                          <w:t xml:space="preserve">e </w:t>
                        </w:r>
                        <w:proofErr w:type="spellStart"/>
                        <w:r w:rsidR="0081580C">
                          <w:t>Circulation</w:t>
                        </w:r>
                        <w:proofErr w:type="spellEnd"/>
                        <w:r w:rsidR="0081580C">
                          <w:t xml:space="preserve"> Automobile – SNCA“)</w:t>
                        </w:r>
                        <w:r>
                          <w:t xml:space="preserve"> </w:t>
                        </w:r>
                      </w:p>
                      <w:p w14:paraId="2A8E0D0E" w14:textId="188E9932" w:rsidR="005C4047" w:rsidRDefault="0081580C">
                        <w:pPr>
                          <w:pStyle w:val="P68B1DB1-ListParagraph9"/>
                          <w:numPr>
                            <w:ilvl w:val="0"/>
                            <w:numId w:val="2"/>
                          </w:numPr>
                          <w:shd w:val="clear" w:color="auto" w:fill="FFFFFF" w:themeFill="background1"/>
                          <w:jc w:val="both"/>
                        </w:pPr>
                        <w:r>
                          <w:t>individuelle</w:t>
                        </w:r>
                        <w:r w:rsidR="00AA0A93">
                          <w:t xml:space="preserve"> Wohnbeihilfen</w:t>
                        </w:r>
                      </w:p>
                      <w:p w14:paraId="2697ABC7" w14:textId="3197D39B" w:rsidR="005C4047" w:rsidRDefault="00AA0A93">
                        <w:pPr>
                          <w:pStyle w:val="P68B1DB1-ListParagraph9"/>
                          <w:numPr>
                            <w:ilvl w:val="0"/>
                            <w:numId w:val="2"/>
                          </w:numPr>
                          <w:shd w:val="clear" w:color="auto" w:fill="FFFFFF" w:themeFill="background1"/>
                          <w:jc w:val="both"/>
                        </w:pPr>
                        <w:r>
                          <w:t>Nachrichtendienst des Staates</w:t>
                        </w:r>
                      </w:p>
                      <w:p w14:paraId="23A5B508" w14:textId="77777777" w:rsidR="005C4047" w:rsidRDefault="005C4047">
                        <w:pPr>
                          <w:rPr>
                            <w:rFonts w:ascii="Arial" w:hAnsi="Arial" w:cs="Arial"/>
                            <w:caps/>
                            <w:sz w:val="22"/>
                          </w:rPr>
                        </w:pPr>
                      </w:p>
                      <w:p w14:paraId="271EAF2D" w14:textId="7EBBD474" w:rsidR="005C4047" w:rsidRDefault="00AA0A93">
                        <w:pPr>
                          <w:pStyle w:val="P68B1DB1-Normal8"/>
                        </w:pPr>
                        <w:r>
                          <w:rPr>
                            <w:b/>
                          </w:rPr>
                          <w:t>589</w:t>
                        </w:r>
                        <w:r>
                          <w:t xml:space="preserve"> schriftliche </w:t>
                        </w:r>
                        <w:r w:rsidR="0081580C">
                          <w:t>Anfragen</w:t>
                        </w:r>
                        <w:r>
                          <w:t xml:space="preserve"> (gegenüber 618 im Jahr 2021)</w:t>
                        </w:r>
                      </w:p>
                      <w:p w14:paraId="5F331ED2" w14:textId="3B1D2CF4" w:rsidR="005C4047" w:rsidRDefault="00AA0A93">
                        <w:pPr>
                          <w:pStyle w:val="P68B1DB1-Normal8"/>
                        </w:pPr>
                        <w:r>
                          <w:t>Die drei Hauptk</w:t>
                        </w:r>
                        <w:r w:rsidR="00840EBC">
                          <w:t>ategorien von Anträgen betrafen</w:t>
                        </w:r>
                        <w:r>
                          <w:t>:</w:t>
                        </w:r>
                      </w:p>
                      <w:p w14:paraId="47325773" w14:textId="6C88F239" w:rsidR="005C4047" w:rsidRPr="00840EBC" w:rsidRDefault="00AA0A93" w:rsidP="0081580C">
                        <w:pPr>
                          <w:pStyle w:val="P68B1DB1-ListParagraph9"/>
                          <w:numPr>
                            <w:ilvl w:val="0"/>
                            <w:numId w:val="6"/>
                          </w:numPr>
                          <w:rPr>
                            <w:lang w:val="en-US"/>
                          </w:rPr>
                        </w:pPr>
                        <w:r w:rsidRPr="00840EBC">
                          <w:rPr>
                            <w:lang w:val="en-US"/>
                          </w:rPr>
                          <w:t xml:space="preserve">COVID-19-Pandemie </w:t>
                        </w:r>
                        <w:r w:rsidR="00840EBC" w:rsidRPr="00840EBC">
                          <w:rPr>
                            <w:lang w:val="en-US"/>
                          </w:rPr>
                          <w:t>(„C</w:t>
                        </w:r>
                        <w:r w:rsidR="0081580C" w:rsidRPr="00840EBC">
                          <w:rPr>
                            <w:lang w:val="en-US"/>
                          </w:rPr>
                          <w:t xml:space="preserve">ontact tracing“, die </w:t>
                        </w:r>
                        <w:proofErr w:type="spellStart"/>
                        <w:r w:rsidR="0081580C" w:rsidRPr="00840EBC">
                          <w:rPr>
                            <w:lang w:val="en-US"/>
                          </w:rPr>
                          <w:t>Messung</w:t>
                        </w:r>
                        <w:proofErr w:type="spellEnd"/>
                        <w:r w:rsidR="0081580C" w:rsidRPr="00840EBC">
                          <w:rPr>
                            <w:lang w:val="en-US"/>
                          </w:rPr>
                          <w:t xml:space="preserve"> der </w:t>
                        </w:r>
                        <w:proofErr w:type="spellStart"/>
                        <w:r w:rsidR="0081580C" w:rsidRPr="00840EBC">
                          <w:rPr>
                            <w:lang w:val="en-US"/>
                          </w:rPr>
                          <w:t>Körpertemperatur</w:t>
                        </w:r>
                        <w:proofErr w:type="spellEnd"/>
                        <w:r w:rsidR="0081580C" w:rsidRPr="00840EBC">
                          <w:rPr>
                            <w:lang w:val="en-US"/>
                          </w:rPr>
                          <w:t xml:space="preserve">, </w:t>
                        </w:r>
                        <w:r w:rsidR="00840EBC" w:rsidRPr="00840EBC">
                          <w:rPr>
                            <w:lang w:val="en-US"/>
                          </w:rPr>
                          <w:t>Home office</w:t>
                        </w:r>
                        <w:r w:rsidR="0081580C" w:rsidRPr="00840EBC">
                          <w:rPr>
                            <w:lang w:val="en-US"/>
                          </w:rPr>
                          <w:t xml:space="preserve">, Homeschooling </w:t>
                        </w:r>
                        <w:proofErr w:type="spellStart"/>
                        <w:r w:rsidR="0081580C" w:rsidRPr="00840EBC">
                          <w:rPr>
                            <w:lang w:val="en-US"/>
                          </w:rPr>
                          <w:t>usw</w:t>
                        </w:r>
                        <w:proofErr w:type="spellEnd"/>
                        <w:r w:rsidR="0081580C" w:rsidRPr="00840EBC">
                          <w:rPr>
                            <w:lang w:val="en-US"/>
                          </w:rPr>
                          <w:t>.)</w:t>
                        </w:r>
                      </w:p>
                      <w:p w14:paraId="7151A599" w14:textId="00BB0DEB" w:rsidR="005C4047" w:rsidRDefault="00840EBC">
                        <w:pPr>
                          <w:pStyle w:val="P68B1DB1-ListParagraph9"/>
                          <w:numPr>
                            <w:ilvl w:val="0"/>
                            <w:numId w:val="6"/>
                          </w:numPr>
                        </w:pPr>
                        <w:r>
                          <w:t>Überwachung am Arbeitsplatz</w:t>
                        </w:r>
                      </w:p>
                      <w:p w14:paraId="644AE214" w14:textId="76ADAEAA" w:rsidR="005C4047" w:rsidRDefault="0081580C">
                        <w:pPr>
                          <w:pStyle w:val="P68B1DB1-ListParagraph9"/>
                          <w:numPr>
                            <w:ilvl w:val="0"/>
                            <w:numId w:val="6"/>
                          </w:numPr>
                        </w:pPr>
                        <w:r>
                          <w:t>die</w:t>
                        </w:r>
                        <w:r w:rsidR="00AA0A93">
                          <w:t xml:space="preserve"> Recht</w:t>
                        </w:r>
                        <w:r>
                          <w:t>e</w:t>
                        </w:r>
                        <w:r w:rsidR="00AA0A93">
                          <w:t xml:space="preserve"> der betroffenen Personen (Zugangs</w:t>
                        </w:r>
                        <w:r w:rsidR="00840EBC">
                          <w:t>recht, Recht auf Löschung usw.)</w:t>
                        </w:r>
                      </w:p>
                      <w:p w14:paraId="27D01114" w14:textId="77777777" w:rsidR="005C4047" w:rsidRDefault="005C4047">
                        <w:pPr>
                          <w:rPr>
                            <w:rFonts w:ascii="Arial" w:hAnsi="Arial" w:cs="Arial"/>
                            <w:sz w:val="22"/>
                          </w:rPr>
                        </w:pPr>
                      </w:p>
                      <w:p w14:paraId="742BF0BF" w14:textId="77777777" w:rsidR="005C4047" w:rsidRDefault="00AA0A93">
                        <w:pPr>
                          <w:pStyle w:val="P68B1DB1-Normal8"/>
                        </w:pPr>
                        <w:r>
                          <w:rPr>
                            <w:b/>
                          </w:rPr>
                          <w:t>482</w:t>
                        </w:r>
                        <w:r>
                          <w:t xml:space="preserve"> Beschwerden (gegenüber 512 im Jahr 2021)</w:t>
                        </w:r>
                      </w:p>
                      <w:p w14:paraId="54BFD056" w14:textId="77777777" w:rsidR="005C4047" w:rsidRDefault="00AA0A93">
                        <w:pPr>
                          <w:pStyle w:val="P68B1DB1-Normal8"/>
                        </w:pPr>
                        <w:r>
                          <w:t>Hauptgründe:</w:t>
                        </w:r>
                      </w:p>
                      <w:p w14:paraId="5DA8644F" w14:textId="1C8F231D" w:rsidR="005C4047" w:rsidRDefault="00AA0A93" w:rsidP="00840EBC">
                        <w:pPr>
                          <w:pStyle w:val="P68B1DB1-ListParagraph9"/>
                          <w:numPr>
                            <w:ilvl w:val="0"/>
                            <w:numId w:val="6"/>
                          </w:numPr>
                          <w:jc w:val="both"/>
                        </w:pPr>
                        <w:r>
                          <w:t>Antrag auf Löschung oder</w:t>
                        </w:r>
                        <w:r w:rsidR="00840EBC">
                          <w:t xml:space="preserve"> Berichtigung nicht erfüllt (21</w:t>
                        </w:r>
                        <w:r>
                          <w:t>%)</w:t>
                        </w:r>
                      </w:p>
                      <w:p w14:paraId="201D0836" w14:textId="2DB901D7" w:rsidR="005C4047" w:rsidRDefault="00AA0A93" w:rsidP="00840EBC">
                        <w:pPr>
                          <w:pStyle w:val="P68B1DB1-ListParagraph9"/>
                          <w:numPr>
                            <w:ilvl w:val="0"/>
                            <w:numId w:val="6"/>
                          </w:numPr>
                          <w:jc w:val="both"/>
                        </w:pPr>
                        <w:r>
                          <w:t>V</w:t>
                        </w:r>
                        <w:r w:rsidR="00840EBC">
                          <w:t>erletzung des Zugangsrechts (15</w:t>
                        </w:r>
                        <w:r>
                          <w:t>%)</w:t>
                        </w:r>
                      </w:p>
                      <w:p w14:paraId="14D0CD78" w14:textId="04D52AB5" w:rsidR="005C4047" w:rsidRDefault="00840EBC" w:rsidP="00840EBC">
                        <w:pPr>
                          <w:pStyle w:val="P68B1DB1-ListParagraph9"/>
                          <w:numPr>
                            <w:ilvl w:val="0"/>
                            <w:numId w:val="6"/>
                          </w:numPr>
                          <w:jc w:val="both"/>
                        </w:pPr>
                        <w:r>
                          <w:t>Unr</w:t>
                        </w:r>
                        <w:r w:rsidR="00AA0A93">
                          <w:t>e</w:t>
                        </w:r>
                        <w:r>
                          <w:t>chtmäßigkeit der Behandlung (15</w:t>
                        </w:r>
                        <w:r w:rsidR="00AA0A93">
                          <w:t>%)</w:t>
                        </w:r>
                      </w:p>
                      <w:p w14:paraId="296743DF" w14:textId="77777777" w:rsidR="005C4047" w:rsidRDefault="005C4047">
                        <w:pPr>
                          <w:rPr>
                            <w:rFonts w:ascii="Arial" w:hAnsi="Arial" w:cs="Arial"/>
                            <w:sz w:val="22"/>
                            <w:highlight w:val="yellow"/>
                          </w:rPr>
                        </w:pPr>
                      </w:p>
                      <w:p w14:paraId="79A37C3A" w14:textId="77777777" w:rsidR="005C4047" w:rsidRDefault="00AA0A93">
                        <w:pPr>
                          <w:pStyle w:val="P68B1DB1-Normal8"/>
                        </w:pPr>
                        <w:r>
                          <w:rPr>
                            <w:b/>
                          </w:rPr>
                          <w:t xml:space="preserve">354 </w:t>
                        </w:r>
                        <w:r>
                          <w:t>Meldungen von Datenschutzverletzungen (gegenüber 333 im Jahr 2021)</w:t>
                        </w:r>
                      </w:p>
                      <w:p w14:paraId="0FE1C272" w14:textId="641F8004" w:rsidR="005C4047" w:rsidRDefault="00AA0A93">
                        <w:pPr>
                          <w:pStyle w:val="P68B1DB1-Normal8"/>
                        </w:pPr>
                        <w:r>
                          <w:t>Haupturs</w:t>
                        </w:r>
                        <w:r w:rsidR="00840EBC">
                          <w:t>ache: menschliches Versagen (63</w:t>
                        </w:r>
                        <w:r>
                          <w:t>%)</w:t>
                        </w:r>
                      </w:p>
                      <w:p w14:paraId="62ED4F2D" w14:textId="77777777" w:rsidR="005C4047" w:rsidRDefault="005C4047">
                        <w:pPr>
                          <w:rPr>
                            <w:rFonts w:ascii="Arial" w:hAnsi="Arial" w:cs="Arial"/>
                            <w:sz w:val="22"/>
                          </w:rPr>
                        </w:pPr>
                      </w:p>
                      <w:p w14:paraId="4503614A" w14:textId="77777777" w:rsidR="005C4047" w:rsidRDefault="00AA0A93">
                        <w:pPr>
                          <w:pStyle w:val="P68B1DB1-Normal8"/>
                        </w:pPr>
                        <w:r>
                          <w:rPr>
                            <w:b/>
                          </w:rPr>
                          <w:t>10</w:t>
                        </w:r>
                        <w:r>
                          <w:t xml:space="preserve"> Untersuchungen</w:t>
                        </w:r>
                      </w:p>
                      <w:p w14:paraId="2DB83BF6" w14:textId="77777777" w:rsidR="005C4047" w:rsidRDefault="00AA0A93">
                        <w:pPr>
                          <w:pStyle w:val="P68B1DB1-ListParagraph9"/>
                          <w:numPr>
                            <w:ilvl w:val="0"/>
                            <w:numId w:val="6"/>
                          </w:numPr>
                        </w:pPr>
                        <w:r>
                          <w:rPr>
                            <w:b/>
                          </w:rPr>
                          <w:t>Prüfungen</w:t>
                        </w:r>
                        <w:r>
                          <w:t xml:space="preserve"> im Rahmen von Ermittlungen zur Ernennung eines Datenschutzbeauftragten gegen sechs Gemeindeverwaltungen</w:t>
                        </w:r>
                        <w:bookmarkStart w:id="1" w:name="_GoBack"/>
                        <w:bookmarkEnd w:id="1"/>
                      </w:p>
                      <w:p w14:paraId="0FE10B4F" w14:textId="3C94F1F0" w:rsidR="005C4047" w:rsidRDefault="0081580C">
                        <w:pPr>
                          <w:pStyle w:val="P68B1DB1-ListParagraph9"/>
                          <w:numPr>
                            <w:ilvl w:val="0"/>
                            <w:numId w:val="6"/>
                          </w:numPr>
                          <w:jc w:val="both"/>
                        </w:pPr>
                        <w:r>
                          <w:rPr>
                            <w:rStyle w:val="Strong"/>
                            <w:color w:val="0B121E"/>
                            <w:shd w:val="clear" w:color="auto" w:fill="FFFFFF"/>
                          </w:rPr>
                          <w:t>Vor-Ort-Untersuchungen</w:t>
                        </w:r>
                        <w:r>
                          <w:t xml:space="preserve"> </w:t>
                        </w:r>
                        <w:r w:rsidR="00AA0A93">
                          <w:t>im Rahmen der Analyse der DSGVO-Konformität von Videoüberwachungsgeräten in privaten Einrichtungen und Schulen</w:t>
                        </w:r>
                      </w:p>
                      <w:p w14:paraId="477B9F5B" w14:textId="77777777" w:rsidR="005C4047" w:rsidRDefault="005C4047">
                        <w:pPr>
                          <w:rPr>
                            <w:rFonts w:ascii="Arial" w:hAnsi="Arial" w:cs="Arial"/>
                            <w:sz w:val="22"/>
                          </w:rPr>
                        </w:pPr>
                      </w:p>
                      <w:p w14:paraId="6C9D2EBD" w14:textId="1354F903" w:rsidR="005C4047" w:rsidRDefault="00AA0A93">
                        <w:pPr>
                          <w:pStyle w:val="P68B1DB1-Normal8"/>
                        </w:pPr>
                        <w:r>
                          <w:rPr>
                            <w:b/>
                          </w:rPr>
                          <w:t>24</w:t>
                        </w:r>
                        <w:r>
                          <w:t xml:space="preserve"> </w:t>
                        </w:r>
                        <w:r w:rsidR="0039112F">
                          <w:t>Beschlüsse</w:t>
                        </w:r>
                        <w:r w:rsidRPr="00840EBC">
                          <w:t>,</w:t>
                        </w:r>
                        <w:r>
                          <w:rPr>
                            <w:b/>
                          </w:rPr>
                          <w:t xml:space="preserve"> </w:t>
                        </w:r>
                        <w:r w:rsidRPr="00AA0A93">
                          <w:t>Geldbußen</w:t>
                        </w:r>
                        <w:r w:rsidR="00645021">
                          <w:t xml:space="preserve"> in Höhe von </w:t>
                        </w:r>
                        <w:r w:rsidR="00645021">
                          <w:rPr>
                            <w:b/>
                          </w:rPr>
                          <w:t>48 375 </w:t>
                        </w:r>
                        <w:r w:rsidR="00645021" w:rsidRPr="00AA0A93">
                          <w:rPr>
                            <w:b/>
                            <w:szCs w:val="22"/>
                            <w:lang w:val="de-DE"/>
                          </w:rPr>
                          <w:t>€</w:t>
                        </w:r>
                      </w:p>
                      <w:p w14:paraId="6516E9D7" w14:textId="77777777" w:rsidR="005C4047" w:rsidRDefault="005C4047">
                        <w:pPr>
                          <w:rPr>
                            <w:rFonts w:ascii="Arial" w:hAnsi="Arial" w:cs="Arial"/>
                            <w:sz w:val="22"/>
                          </w:rPr>
                        </w:pPr>
                      </w:p>
                      <w:p w14:paraId="3B15CD93" w14:textId="77777777" w:rsidR="005C4047" w:rsidRDefault="005C4047">
                        <w:pPr>
                          <w:rPr>
                            <w:rFonts w:ascii="Arial" w:hAnsi="Arial" w:cs="Arial"/>
                            <w:sz w:val="22"/>
                          </w:rPr>
                        </w:pPr>
                      </w:p>
                      <w:p w14:paraId="4E7C4C87" w14:textId="77777777" w:rsidR="005C4047" w:rsidRDefault="005C4047">
                        <w:pPr>
                          <w:rPr>
                            <w:rFonts w:ascii="Arial" w:hAnsi="Arial" w:cs="Arial"/>
                            <w:caps/>
                            <w:sz w:val="22"/>
                          </w:rPr>
                        </w:pPr>
                      </w:p>
                    </w:txbxContent>
                  </v:textbox>
                </v:shape>
                <w10:wrap type="square" anchorx="margin" anchory="margin"/>
              </v:group>
            </w:pict>
          </mc:Fallback>
        </mc:AlternateContent>
      </w:r>
    </w:p>
    <w:p w14:paraId="1B333FBB" w14:textId="3AF3AF34" w:rsidR="005C4047" w:rsidRDefault="005C4047">
      <w:pPr>
        <w:pStyle w:val="P68B1DB1-NormalWeb10"/>
        <w:jc w:val="both"/>
        <w:rPr>
          <w:rFonts w:cs="Arial"/>
        </w:rPr>
      </w:pPr>
    </w:p>
    <w:p w14:paraId="4386D5D5" w14:textId="796FE0BA" w:rsidR="005C4047" w:rsidRDefault="005C4047">
      <w:pPr>
        <w:pStyle w:val="NormalWeb"/>
        <w:jc w:val="both"/>
        <w:rPr>
          <w:rFonts w:ascii="Arial" w:hAnsi="Arial" w:cs="Arial"/>
          <w:sz w:val="22"/>
        </w:rPr>
      </w:pPr>
    </w:p>
    <w:p w14:paraId="26C629F7" w14:textId="77777777" w:rsidR="005C4047" w:rsidRDefault="005C4047">
      <w:pPr>
        <w:pStyle w:val="NormalWeb"/>
        <w:jc w:val="both"/>
        <w:rPr>
          <w:rFonts w:ascii="Arial" w:hAnsi="Arial" w:cs="Arial"/>
          <w:sz w:val="22"/>
        </w:rPr>
      </w:pPr>
    </w:p>
    <w:p w14:paraId="1B44BD8D" w14:textId="77777777" w:rsidR="005C4047" w:rsidRDefault="005C4047">
      <w:pPr>
        <w:pStyle w:val="NormalWeb"/>
        <w:jc w:val="both"/>
        <w:rPr>
          <w:rFonts w:ascii="Arial" w:hAnsi="Arial" w:cs="Arial"/>
          <w:sz w:val="22"/>
        </w:rPr>
      </w:pPr>
    </w:p>
    <w:p w14:paraId="37289560" w14:textId="77777777" w:rsidR="005C4047" w:rsidRDefault="005C4047">
      <w:pPr>
        <w:pStyle w:val="NormalWeb"/>
        <w:jc w:val="both"/>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496"/>
      </w:tblGrid>
      <w:tr w:rsidR="005C4047" w:rsidRPr="00877A49" w14:paraId="76C79F22" w14:textId="77777777">
        <w:trPr>
          <w:trHeight w:val="1266"/>
        </w:trPr>
        <w:tc>
          <w:tcPr>
            <w:tcW w:w="2340" w:type="dxa"/>
          </w:tcPr>
          <w:p w14:paraId="2AF764D5" w14:textId="77777777" w:rsidR="005C4047" w:rsidRDefault="00AA0A93">
            <w:pPr>
              <w:pStyle w:val="P68B1DB1-NormalWeb11"/>
              <w:jc w:val="both"/>
            </w:pPr>
            <w:r>
              <w:rPr>
                <w:noProof/>
                <w:lang w:val="en-US"/>
              </w:rPr>
              <w:drawing>
                <wp:inline distT="0" distB="0" distL="0" distR="0" wp14:anchorId="4E8C0C9C" wp14:editId="6DCC99E1">
                  <wp:extent cx="1321209" cy="1228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munique-de-press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209" cy="1228725"/>
                          </a:xfrm>
                          <a:prstGeom prst="rect">
                            <a:avLst/>
                          </a:prstGeom>
                        </pic:spPr>
                      </pic:pic>
                    </a:graphicData>
                  </a:graphic>
                </wp:inline>
              </w:drawing>
            </w:r>
          </w:p>
        </w:tc>
        <w:tc>
          <w:tcPr>
            <w:tcW w:w="7496" w:type="dxa"/>
          </w:tcPr>
          <w:p w14:paraId="6FE41ADD" w14:textId="77777777" w:rsidR="005C4047" w:rsidRDefault="00AA0A93">
            <w:pPr>
              <w:pStyle w:val="P68B1DB1-NormalWeb12"/>
              <w:jc w:val="both"/>
            </w:pPr>
            <w:r>
              <w:t>Mitteilung der Nationalen Datenschutzkommission</w:t>
            </w:r>
          </w:p>
          <w:p w14:paraId="1CE7882C" w14:textId="77777777" w:rsidR="005C4047" w:rsidRDefault="00AA0A93">
            <w:pPr>
              <w:pStyle w:val="P68B1DB1-NormalWeb13"/>
              <w:jc w:val="both"/>
            </w:pPr>
            <w:r>
              <w:t xml:space="preserve">15 Boulevard du Jazz </w:t>
            </w:r>
          </w:p>
          <w:p w14:paraId="795FCB6F" w14:textId="77777777" w:rsidR="005C4047" w:rsidRPr="003B1BD3" w:rsidRDefault="00AA0A93">
            <w:pPr>
              <w:pStyle w:val="P68B1DB1-NormalWeb13"/>
              <w:jc w:val="both"/>
              <w:rPr>
                <w:lang w:val="fr-FR"/>
              </w:rPr>
            </w:pPr>
            <w:r w:rsidRPr="003B1BD3">
              <w:rPr>
                <w:lang w:val="fr-FR"/>
              </w:rPr>
              <w:t xml:space="preserve">L-4370 </w:t>
            </w:r>
            <w:proofErr w:type="spellStart"/>
            <w:r w:rsidRPr="003B1BD3">
              <w:rPr>
                <w:lang w:val="fr-FR"/>
              </w:rPr>
              <w:t>Belvaux</w:t>
            </w:r>
            <w:proofErr w:type="spellEnd"/>
          </w:p>
          <w:p w14:paraId="6B0C5E27" w14:textId="77777777" w:rsidR="005C4047" w:rsidRPr="003B1BD3" w:rsidRDefault="00AA0A93">
            <w:pPr>
              <w:pStyle w:val="P68B1DB1-NormalWeb13"/>
              <w:jc w:val="both"/>
              <w:rPr>
                <w:lang w:val="fr-FR"/>
              </w:rPr>
            </w:pPr>
            <w:r w:rsidRPr="003B1BD3">
              <w:rPr>
                <w:lang w:val="fr-FR"/>
              </w:rPr>
              <w:t>Tel.: 26 10 60-1</w:t>
            </w:r>
          </w:p>
          <w:p w14:paraId="5484EFAF" w14:textId="77777777" w:rsidR="005C4047" w:rsidRPr="003B1BD3" w:rsidRDefault="00AA0A93">
            <w:pPr>
              <w:pStyle w:val="P68B1DB1-NormalWeb13"/>
              <w:jc w:val="both"/>
              <w:rPr>
                <w:lang w:val="fr-FR"/>
              </w:rPr>
            </w:pPr>
            <w:r w:rsidRPr="003B1BD3">
              <w:rPr>
                <w:lang w:val="fr-FR"/>
              </w:rPr>
              <w:t>Fax: 26 10 60-6099</w:t>
            </w:r>
          </w:p>
          <w:p w14:paraId="0AEBED9C" w14:textId="207CC2E0" w:rsidR="005C4047" w:rsidRPr="00CB2C38" w:rsidRDefault="00AA0A93">
            <w:pPr>
              <w:pStyle w:val="NormalWeb"/>
              <w:jc w:val="both"/>
              <w:rPr>
                <w:rFonts w:ascii="Arial" w:hAnsi="Arial" w:cs="Arial"/>
                <w:sz w:val="22"/>
                <w:lang w:val="fr-FR"/>
              </w:rPr>
            </w:pPr>
            <w:r w:rsidRPr="00CB2C38">
              <w:rPr>
                <w:rFonts w:ascii="Arial" w:hAnsi="Arial" w:cs="Arial"/>
                <w:sz w:val="22"/>
                <w:lang w:val="fr-FR"/>
              </w:rPr>
              <w:t xml:space="preserve">E-Mail: </w:t>
            </w:r>
            <w:hyperlink r:id="rId9" w:history="1">
              <w:r w:rsidRPr="00CB2C38">
                <w:rPr>
                  <w:rStyle w:val="Hyperlink"/>
                  <w:rFonts w:ascii="Arial" w:hAnsi="Arial" w:cs="Arial"/>
                  <w:sz w:val="22"/>
                  <w:lang w:val="fr-FR"/>
                </w:rPr>
                <w:t>info@cnpd.lu</w:t>
              </w:r>
            </w:hyperlink>
          </w:p>
          <w:p w14:paraId="180735C4" w14:textId="6D4CD088" w:rsidR="005C4047" w:rsidRPr="00E42EA2" w:rsidRDefault="00AA0A93">
            <w:pPr>
              <w:pStyle w:val="NormalWeb"/>
              <w:jc w:val="both"/>
              <w:rPr>
                <w:rFonts w:ascii="Arial" w:hAnsi="Arial" w:cs="Arial"/>
                <w:sz w:val="22"/>
                <w:lang w:val="de-DE"/>
              </w:rPr>
            </w:pPr>
            <w:r w:rsidRPr="00E42EA2">
              <w:rPr>
                <w:rFonts w:ascii="Arial" w:hAnsi="Arial" w:cs="Arial"/>
                <w:sz w:val="22"/>
                <w:lang w:val="de-DE"/>
              </w:rPr>
              <w:t xml:space="preserve">Internet: </w:t>
            </w:r>
            <w:hyperlink r:id="rId10" w:history="1">
              <w:r w:rsidRPr="00E42EA2">
                <w:rPr>
                  <w:rStyle w:val="Hyperlink"/>
                  <w:rFonts w:ascii="Arial" w:hAnsi="Arial" w:cs="Arial"/>
                  <w:sz w:val="22"/>
                  <w:lang w:val="de-DE"/>
                </w:rPr>
                <w:t>http://www.cnpd.lu</w:t>
              </w:r>
            </w:hyperlink>
          </w:p>
          <w:p w14:paraId="67A66D9A" w14:textId="77777777" w:rsidR="005C4047" w:rsidRPr="00E42EA2" w:rsidRDefault="005C4047">
            <w:pPr>
              <w:pStyle w:val="NormalWeb"/>
              <w:jc w:val="both"/>
              <w:rPr>
                <w:rFonts w:ascii="Arial" w:hAnsi="Arial" w:cs="Arial"/>
                <w:sz w:val="22"/>
                <w:lang w:val="de-DE"/>
              </w:rPr>
            </w:pPr>
          </w:p>
        </w:tc>
      </w:tr>
    </w:tbl>
    <w:p w14:paraId="6330D4A9" w14:textId="77777777" w:rsidR="005C4047" w:rsidRPr="00E42EA2" w:rsidRDefault="005C4047">
      <w:pPr>
        <w:rPr>
          <w:lang w:val="de-DE"/>
        </w:rPr>
      </w:pPr>
    </w:p>
    <w:sectPr w:rsidR="005C4047" w:rsidRPr="00E42EA2">
      <w:headerReference w:type="default" r:id="rId11"/>
      <w:pgSz w:w="12240" w:h="15840"/>
      <w:pgMar w:top="993" w:right="1134" w:bottom="426" w:left="1134" w:header="567"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9FD785D" w16cex:dateUtc="2023-09-28T0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25CC" w16cid:durableId="39FD78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4B0E" w14:textId="77777777" w:rsidR="00AF4F66" w:rsidRDefault="00AF4F66">
      <w:r>
        <w:separator/>
      </w:r>
    </w:p>
  </w:endnote>
  <w:endnote w:type="continuationSeparator" w:id="0">
    <w:p w14:paraId="28B418A2" w14:textId="77777777" w:rsidR="00AF4F66" w:rsidRDefault="00AF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w:altName w:val="Calibr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699C" w14:textId="77777777" w:rsidR="00AF4F66" w:rsidRDefault="00AF4F66">
      <w:r>
        <w:separator/>
      </w:r>
    </w:p>
  </w:footnote>
  <w:footnote w:type="continuationSeparator" w:id="0">
    <w:p w14:paraId="5FBFA45B" w14:textId="77777777" w:rsidR="00AF4F66" w:rsidRDefault="00AF4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AEAC" w14:textId="77777777" w:rsidR="005C4047" w:rsidRDefault="00AA0A93">
    <w:pPr>
      <w:pStyle w:val="Header"/>
      <w:rPr>
        <w:rFonts w:ascii="TradeGothic" w:hAnsi="TradeGothic"/>
        <w:color w:val="808080" w:themeColor="background1" w:themeShade="80"/>
      </w:rPr>
    </w:pPr>
    <w:r>
      <w:rPr>
        <w:rFonts w:ascii="Arial" w:hAnsi="Arial" w:cs="Arial"/>
        <w:noProof/>
        <w:sz w:val="22"/>
        <w:lang w:val="en-US"/>
      </w:rPr>
      <w:drawing>
        <wp:anchor distT="0" distB="0" distL="114300" distR="114300" simplePos="0" relativeHeight="251658240" behindDoc="0" locked="0" layoutInCell="1" allowOverlap="1" wp14:anchorId="345DE185" wp14:editId="10A17918">
          <wp:simplePos x="0" y="0"/>
          <wp:positionH relativeFrom="column">
            <wp:posOffset>4135</wp:posOffset>
          </wp:positionH>
          <wp:positionV relativeFrom="paragraph">
            <wp:posOffset>-179070</wp:posOffset>
          </wp:positionV>
          <wp:extent cx="600075" cy="557832"/>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557832"/>
                  </a:xfrm>
                  <a:prstGeom prst="rect">
                    <a:avLst/>
                  </a:prstGeom>
                </pic:spPr>
              </pic:pic>
            </a:graphicData>
          </a:graphic>
        </wp:anchor>
      </w:drawing>
    </w:r>
    <w:r>
      <w:rPr>
        <w:rFonts w:ascii="TradeGothic" w:hAnsi="TradeGothic"/>
        <w:color w:val="808080" w:themeColor="background1" w:themeShade="80"/>
      </w:rPr>
      <w:t>PRESSEMITTEILUNG</w:t>
    </w:r>
  </w:p>
  <w:p w14:paraId="70A1C310" w14:textId="77777777" w:rsidR="005C4047" w:rsidRDefault="005C4047">
    <w:pPr>
      <w:pStyle w:val="Header"/>
      <w:rPr>
        <w:rFonts w:ascii="TradeGothic" w:hAnsi="TradeGothic"/>
        <w:color w:val="808080" w:themeColor="background1" w:themeShade="80"/>
      </w:rPr>
    </w:pPr>
  </w:p>
  <w:p w14:paraId="08C54111" w14:textId="77777777" w:rsidR="005C4047" w:rsidRDefault="005C4047">
    <w:pPr>
      <w:pStyle w:val="Header"/>
      <w:rPr>
        <w:rFonts w:ascii="TradeGothic" w:hAnsi="TradeGothic"/>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074B"/>
    <w:multiLevelType w:val="multilevel"/>
    <w:tmpl w:val="F2809C9C"/>
    <w:lvl w:ilvl="0">
      <w:start w:val="1"/>
      <w:numFmt w:val="decimal"/>
      <w:pStyle w:val="Heading2"/>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5447E2B"/>
    <w:multiLevelType w:val="hybridMultilevel"/>
    <w:tmpl w:val="0FF81E28"/>
    <w:lvl w:ilvl="0" w:tplc="60587B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4973E8"/>
    <w:multiLevelType w:val="hybridMultilevel"/>
    <w:tmpl w:val="35541D9C"/>
    <w:lvl w:ilvl="0" w:tplc="60587B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D5580C"/>
    <w:multiLevelType w:val="hybridMultilevel"/>
    <w:tmpl w:val="F53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FD6F17"/>
    <w:multiLevelType w:val="hybridMultilevel"/>
    <w:tmpl w:val="CE8C5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1E1F35"/>
    <w:multiLevelType w:val="hybridMultilevel"/>
    <w:tmpl w:val="760C23C0"/>
    <w:lvl w:ilvl="0" w:tplc="60587BC6">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6C3CC4"/>
    <w:multiLevelType w:val="hybridMultilevel"/>
    <w:tmpl w:val="C60A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A3E"/>
    <w:rsid w:val="0003480C"/>
    <w:rsid w:val="000607FE"/>
    <w:rsid w:val="00066A1F"/>
    <w:rsid w:val="000729CD"/>
    <w:rsid w:val="000A4DB5"/>
    <w:rsid w:val="001341DE"/>
    <w:rsid w:val="001412CA"/>
    <w:rsid w:val="00156DD1"/>
    <w:rsid w:val="001E261F"/>
    <w:rsid w:val="001E7825"/>
    <w:rsid w:val="001F7938"/>
    <w:rsid w:val="0021746F"/>
    <w:rsid w:val="00255917"/>
    <w:rsid w:val="002A0F42"/>
    <w:rsid w:val="002E13BD"/>
    <w:rsid w:val="0031529E"/>
    <w:rsid w:val="00347DF7"/>
    <w:rsid w:val="0035143E"/>
    <w:rsid w:val="00381AF5"/>
    <w:rsid w:val="0039112F"/>
    <w:rsid w:val="00391C23"/>
    <w:rsid w:val="00393417"/>
    <w:rsid w:val="003B1BD3"/>
    <w:rsid w:val="00422572"/>
    <w:rsid w:val="00424F10"/>
    <w:rsid w:val="00454B8F"/>
    <w:rsid w:val="00464ED3"/>
    <w:rsid w:val="004B1A21"/>
    <w:rsid w:val="004C082C"/>
    <w:rsid w:val="004C2657"/>
    <w:rsid w:val="004C500A"/>
    <w:rsid w:val="004D4DA0"/>
    <w:rsid w:val="004E0E6B"/>
    <w:rsid w:val="004E5511"/>
    <w:rsid w:val="00514DC0"/>
    <w:rsid w:val="00523926"/>
    <w:rsid w:val="00524B4A"/>
    <w:rsid w:val="005257E8"/>
    <w:rsid w:val="00527A2D"/>
    <w:rsid w:val="005C4047"/>
    <w:rsid w:val="005E15DB"/>
    <w:rsid w:val="005F0516"/>
    <w:rsid w:val="00627F49"/>
    <w:rsid w:val="00645021"/>
    <w:rsid w:val="00654B05"/>
    <w:rsid w:val="006640C3"/>
    <w:rsid w:val="00694D2E"/>
    <w:rsid w:val="006B4F90"/>
    <w:rsid w:val="006C22AE"/>
    <w:rsid w:val="006D2DCA"/>
    <w:rsid w:val="006D5314"/>
    <w:rsid w:val="006F214A"/>
    <w:rsid w:val="00720E78"/>
    <w:rsid w:val="00724A8A"/>
    <w:rsid w:val="00732A89"/>
    <w:rsid w:val="00733A3E"/>
    <w:rsid w:val="00734A20"/>
    <w:rsid w:val="00773DF8"/>
    <w:rsid w:val="007819A7"/>
    <w:rsid w:val="007B158B"/>
    <w:rsid w:val="007B58FF"/>
    <w:rsid w:val="007D3DA6"/>
    <w:rsid w:val="007F5F8C"/>
    <w:rsid w:val="0081580C"/>
    <w:rsid w:val="00840EBC"/>
    <w:rsid w:val="00861A4D"/>
    <w:rsid w:val="00877A49"/>
    <w:rsid w:val="008A41EB"/>
    <w:rsid w:val="008B6C18"/>
    <w:rsid w:val="00967B8A"/>
    <w:rsid w:val="009B2FCE"/>
    <w:rsid w:val="009C44FE"/>
    <w:rsid w:val="009E7A75"/>
    <w:rsid w:val="00A12B7C"/>
    <w:rsid w:val="00A23DFA"/>
    <w:rsid w:val="00A33600"/>
    <w:rsid w:val="00A34D3D"/>
    <w:rsid w:val="00A628C6"/>
    <w:rsid w:val="00A65998"/>
    <w:rsid w:val="00AA098D"/>
    <w:rsid w:val="00AA0A93"/>
    <w:rsid w:val="00AA247B"/>
    <w:rsid w:val="00AD6427"/>
    <w:rsid w:val="00AF4F66"/>
    <w:rsid w:val="00B12E52"/>
    <w:rsid w:val="00B562C9"/>
    <w:rsid w:val="00C030E8"/>
    <w:rsid w:val="00C32861"/>
    <w:rsid w:val="00C92F69"/>
    <w:rsid w:val="00C93BDE"/>
    <w:rsid w:val="00CB0B7D"/>
    <w:rsid w:val="00CB2C38"/>
    <w:rsid w:val="00D96FBB"/>
    <w:rsid w:val="00DB2DA8"/>
    <w:rsid w:val="00DC33A5"/>
    <w:rsid w:val="00DD3EE3"/>
    <w:rsid w:val="00E225DC"/>
    <w:rsid w:val="00E23E90"/>
    <w:rsid w:val="00E31AA2"/>
    <w:rsid w:val="00E42EA2"/>
    <w:rsid w:val="00E54794"/>
    <w:rsid w:val="00E61ABA"/>
    <w:rsid w:val="00E70083"/>
    <w:rsid w:val="00E8371D"/>
    <w:rsid w:val="00EB0931"/>
    <w:rsid w:val="00ED2905"/>
    <w:rsid w:val="00EE0BAE"/>
    <w:rsid w:val="00EE15D5"/>
    <w:rsid w:val="00F026AA"/>
    <w:rsid w:val="00F347C5"/>
    <w:rsid w:val="00F37624"/>
    <w:rsid w:val="00FC0F42"/>
    <w:rsid w:val="00FD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8DD"/>
  <w15:chartTrackingRefBased/>
  <w15:docId w15:val="{227D3356-028E-4180-A33C-91C331E8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A3E"/>
    <w:pPr>
      <w:spacing w:after="0" w:line="240" w:lineRule="auto"/>
    </w:pPr>
    <w:rPr>
      <w:rFonts w:ascii="Times New Roman" w:eastAsia="SimSun" w:hAnsi="Times New Roman" w:cs="Times New Roman"/>
      <w:sz w:val="24"/>
    </w:rPr>
  </w:style>
  <w:style w:type="paragraph" w:styleId="Heading1">
    <w:name w:val="heading 1"/>
    <w:basedOn w:val="Normal"/>
    <w:next w:val="Normal"/>
    <w:link w:val="Heading1Char"/>
    <w:uiPriority w:val="9"/>
    <w:qFormat/>
    <w:rsid w:val="00DB2DA8"/>
    <w:pPr>
      <w:keepNext/>
      <w:keepLines/>
      <w:spacing w:before="240"/>
      <w:outlineLvl w:val="0"/>
    </w:pPr>
    <w:rPr>
      <w:rFonts w:asciiTheme="majorHAnsi" w:eastAsiaTheme="majorEastAsia" w:hAnsiTheme="majorHAnsi" w:cstheme="majorBidi"/>
      <w:color w:val="2E74B5" w:themeColor="accent1" w:themeShade="BF"/>
      <w:sz w:val="32"/>
    </w:rPr>
  </w:style>
  <w:style w:type="paragraph" w:styleId="Heading2">
    <w:name w:val="heading 2"/>
    <w:basedOn w:val="ListParagraph"/>
    <w:next w:val="Normal"/>
    <w:link w:val="Heading2Char"/>
    <w:uiPriority w:val="9"/>
    <w:unhideWhenUsed/>
    <w:qFormat/>
    <w:rsid w:val="008B6C18"/>
    <w:pPr>
      <w:numPr>
        <w:numId w:val="3"/>
      </w:numPr>
      <w:spacing w:after="160" w:line="259" w:lineRule="auto"/>
      <w:jc w:val="both"/>
      <w:outlineLvl w:val="1"/>
    </w:pPr>
    <w:rPr>
      <w:rFonts w:ascii="Arial" w:eastAsiaTheme="minorHAnsi" w:hAnsi="Arial" w:cstheme="minorBidi"/>
      <w:color w:val="575A5D"/>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33A3E"/>
  </w:style>
  <w:style w:type="character" w:styleId="Hyperlink">
    <w:name w:val="Hyperlink"/>
    <w:basedOn w:val="DefaultParagraphFont"/>
    <w:rsid w:val="00733A3E"/>
    <w:rPr>
      <w:color w:val="0000FF"/>
      <w:u w:val="single"/>
    </w:rPr>
  </w:style>
  <w:style w:type="paragraph" w:styleId="ListParagraph">
    <w:name w:val="List Paragraph"/>
    <w:basedOn w:val="Normal"/>
    <w:uiPriority w:val="34"/>
    <w:qFormat/>
    <w:rsid w:val="00733A3E"/>
    <w:pPr>
      <w:ind w:left="720"/>
      <w:contextualSpacing/>
    </w:pPr>
  </w:style>
  <w:style w:type="paragraph" w:styleId="Header">
    <w:name w:val="header"/>
    <w:basedOn w:val="Normal"/>
    <w:link w:val="HeaderChar"/>
    <w:rsid w:val="00733A3E"/>
    <w:pPr>
      <w:tabs>
        <w:tab w:val="center" w:pos="4513"/>
        <w:tab w:val="right" w:pos="9026"/>
      </w:tabs>
    </w:pPr>
  </w:style>
  <w:style w:type="character" w:customStyle="1" w:styleId="HeaderChar">
    <w:name w:val="Header Char"/>
    <w:basedOn w:val="DefaultParagraphFont"/>
    <w:link w:val="Header"/>
    <w:rsid w:val="00733A3E"/>
    <w:rPr>
      <w:rFonts w:ascii="Times New Roman" w:eastAsia="SimSun" w:hAnsi="Times New Roman" w:cs="Times New Roman"/>
      <w:sz w:val="24"/>
    </w:rPr>
  </w:style>
  <w:style w:type="table" w:styleId="TableGrid">
    <w:name w:val="Table Grid"/>
    <w:basedOn w:val="TableNormal"/>
    <w:rsid w:val="00733A3E"/>
    <w:pPr>
      <w:spacing w:after="0" w:line="240" w:lineRule="auto"/>
    </w:pPr>
    <w:rPr>
      <w:rFonts w:ascii="Times New Roman" w:eastAsia="SimSu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B6C18"/>
    <w:rPr>
      <w:rFonts w:ascii="Arial" w:hAnsi="Arial"/>
      <w:color w:val="575A5D"/>
      <w:sz w:val="36"/>
      <w:u w:val="single"/>
    </w:rPr>
  </w:style>
  <w:style w:type="paragraph" w:styleId="Footer">
    <w:name w:val="footer"/>
    <w:basedOn w:val="Normal"/>
    <w:link w:val="FooterChar"/>
    <w:uiPriority w:val="99"/>
    <w:unhideWhenUsed/>
    <w:rsid w:val="00720E78"/>
    <w:pPr>
      <w:tabs>
        <w:tab w:val="center" w:pos="4513"/>
        <w:tab w:val="right" w:pos="9026"/>
      </w:tabs>
    </w:pPr>
  </w:style>
  <w:style w:type="character" w:customStyle="1" w:styleId="FooterChar">
    <w:name w:val="Footer Char"/>
    <w:basedOn w:val="DefaultParagraphFont"/>
    <w:link w:val="Footer"/>
    <w:uiPriority w:val="99"/>
    <w:rsid w:val="00720E78"/>
    <w:rPr>
      <w:rFonts w:ascii="Times New Roman" w:eastAsia="SimSun" w:hAnsi="Times New Roman" w:cs="Times New Roman"/>
      <w:sz w:val="24"/>
    </w:rPr>
  </w:style>
  <w:style w:type="character" w:styleId="Strong">
    <w:name w:val="Strong"/>
    <w:basedOn w:val="DefaultParagraphFont"/>
    <w:uiPriority w:val="22"/>
    <w:qFormat/>
    <w:rsid w:val="005257E8"/>
    <w:rPr>
      <w:b/>
    </w:rPr>
  </w:style>
  <w:style w:type="character" w:styleId="Emphasis">
    <w:name w:val="Emphasis"/>
    <w:basedOn w:val="DefaultParagraphFont"/>
    <w:uiPriority w:val="20"/>
    <w:qFormat/>
    <w:rsid w:val="005257E8"/>
    <w:rPr>
      <w:i/>
    </w:rPr>
  </w:style>
  <w:style w:type="character" w:styleId="CommentReference">
    <w:name w:val="annotation reference"/>
    <w:basedOn w:val="DefaultParagraphFont"/>
    <w:uiPriority w:val="99"/>
    <w:semiHidden/>
    <w:unhideWhenUsed/>
    <w:rsid w:val="002A0F42"/>
    <w:rPr>
      <w:sz w:val="16"/>
    </w:rPr>
  </w:style>
  <w:style w:type="paragraph" w:styleId="CommentText">
    <w:name w:val="annotation text"/>
    <w:basedOn w:val="Normal"/>
    <w:link w:val="CommentTextChar"/>
    <w:uiPriority w:val="99"/>
    <w:unhideWhenUsed/>
    <w:rsid w:val="002A0F42"/>
    <w:rPr>
      <w:sz w:val="20"/>
    </w:rPr>
  </w:style>
  <w:style w:type="character" w:customStyle="1" w:styleId="CommentTextChar">
    <w:name w:val="Comment Text Char"/>
    <w:basedOn w:val="DefaultParagraphFont"/>
    <w:link w:val="CommentText"/>
    <w:uiPriority w:val="99"/>
    <w:rsid w:val="002A0F42"/>
    <w:rPr>
      <w:rFonts w:ascii="Times New Roman" w:eastAsia="SimSun" w:hAnsi="Times New Roman" w:cs="Times New Roman"/>
      <w:sz w:val="20"/>
    </w:rPr>
  </w:style>
  <w:style w:type="paragraph" w:styleId="CommentSubject">
    <w:name w:val="annotation subject"/>
    <w:basedOn w:val="CommentText"/>
    <w:next w:val="CommentText"/>
    <w:link w:val="CommentSubjectChar"/>
    <w:uiPriority w:val="99"/>
    <w:semiHidden/>
    <w:unhideWhenUsed/>
    <w:rsid w:val="002A0F42"/>
    <w:rPr>
      <w:b/>
    </w:rPr>
  </w:style>
  <w:style w:type="character" w:customStyle="1" w:styleId="CommentSubjectChar">
    <w:name w:val="Comment Subject Char"/>
    <w:basedOn w:val="CommentTextChar"/>
    <w:link w:val="CommentSubject"/>
    <w:uiPriority w:val="99"/>
    <w:semiHidden/>
    <w:rsid w:val="002A0F42"/>
    <w:rPr>
      <w:rFonts w:ascii="Times New Roman" w:eastAsia="SimSun" w:hAnsi="Times New Roman" w:cs="Times New Roman"/>
      <w:b/>
      <w:sz w:val="20"/>
    </w:rPr>
  </w:style>
  <w:style w:type="paragraph" w:styleId="BalloonText">
    <w:name w:val="Balloon Text"/>
    <w:basedOn w:val="Normal"/>
    <w:link w:val="BalloonTextChar"/>
    <w:uiPriority w:val="99"/>
    <w:semiHidden/>
    <w:unhideWhenUsed/>
    <w:rsid w:val="00C32861"/>
    <w:rPr>
      <w:rFonts w:ascii="Segoe UI" w:hAnsi="Segoe UI" w:cs="Segoe UI"/>
      <w:sz w:val="18"/>
    </w:rPr>
  </w:style>
  <w:style w:type="character" w:customStyle="1" w:styleId="BalloonTextChar">
    <w:name w:val="Balloon Text Char"/>
    <w:basedOn w:val="DefaultParagraphFont"/>
    <w:link w:val="BalloonText"/>
    <w:uiPriority w:val="99"/>
    <w:semiHidden/>
    <w:rsid w:val="00C32861"/>
    <w:rPr>
      <w:rFonts w:ascii="Segoe UI" w:eastAsia="SimSun" w:hAnsi="Segoe UI" w:cs="Segoe UI"/>
      <w:sz w:val="18"/>
    </w:rPr>
  </w:style>
  <w:style w:type="paragraph" w:styleId="Revision">
    <w:name w:val="Revision"/>
    <w:hidden/>
    <w:uiPriority w:val="99"/>
    <w:semiHidden/>
    <w:rsid w:val="009B2FCE"/>
    <w:pPr>
      <w:spacing w:after="0" w:line="240" w:lineRule="auto"/>
    </w:pPr>
    <w:rPr>
      <w:rFonts w:ascii="Times New Roman" w:eastAsia="SimSun" w:hAnsi="Times New Roman" w:cs="Times New Roman"/>
      <w:sz w:val="24"/>
    </w:rPr>
  </w:style>
  <w:style w:type="character" w:customStyle="1" w:styleId="Heading1Char">
    <w:name w:val="Heading 1 Char"/>
    <w:basedOn w:val="DefaultParagraphFont"/>
    <w:link w:val="Heading1"/>
    <w:uiPriority w:val="9"/>
    <w:rsid w:val="00DB2DA8"/>
    <w:rPr>
      <w:rFonts w:asciiTheme="majorHAnsi" w:eastAsiaTheme="majorEastAsia" w:hAnsiTheme="majorHAnsi" w:cstheme="majorBidi"/>
      <w:color w:val="2E74B5" w:themeColor="accent1" w:themeShade="BF"/>
      <w:sz w:val="32"/>
    </w:rPr>
  </w:style>
  <w:style w:type="paragraph" w:customStyle="1" w:styleId="P68B1DB1-Normal1">
    <w:name w:val="P68B1DB1-Normal1"/>
    <w:basedOn w:val="Normal"/>
    <w:rPr>
      <w:rFonts w:ascii="Arial" w:hAnsi="Arial" w:cs="Arial"/>
      <w:b/>
      <w:color w:val="00A0DF"/>
      <w:sz w:val="22"/>
    </w:rPr>
  </w:style>
  <w:style w:type="paragraph" w:customStyle="1" w:styleId="P68B1DB1-NormalWeb2">
    <w:name w:val="P68B1DB1-NormalWeb2"/>
    <w:basedOn w:val="NormalWeb"/>
    <w:rPr>
      <w:rFonts w:ascii="Arial" w:hAnsi="Arial" w:cs="Arial"/>
      <w:b/>
      <w:color w:val="00476B"/>
      <w:sz w:val="32"/>
    </w:rPr>
  </w:style>
  <w:style w:type="paragraph" w:customStyle="1" w:styleId="P68B1DB1-NormalWeb3">
    <w:name w:val="P68B1DB1-NormalWeb3"/>
    <w:basedOn w:val="NormalWeb"/>
    <w:rPr>
      <w:rFonts w:ascii="Arial" w:hAnsi="Arial" w:cs="Arial"/>
    </w:rPr>
  </w:style>
  <w:style w:type="paragraph" w:customStyle="1" w:styleId="P68B1DB1-Normal4">
    <w:name w:val="P68B1DB1-Normal4"/>
    <w:basedOn w:val="Normal"/>
    <w:rPr>
      <w:rFonts w:ascii="Arial" w:eastAsia="Calibri" w:hAnsi="Arial"/>
      <w:sz w:val="22"/>
    </w:rPr>
  </w:style>
  <w:style w:type="paragraph" w:customStyle="1" w:styleId="P68B1DB1-Normal5">
    <w:name w:val="P68B1DB1-Normal5"/>
    <w:basedOn w:val="Normal"/>
    <w:rPr>
      <w:rFonts w:ascii="Arial" w:eastAsia="Calibri" w:hAnsi="Arial"/>
      <w:b/>
      <w:sz w:val="22"/>
    </w:rPr>
  </w:style>
  <w:style w:type="paragraph" w:customStyle="1" w:styleId="P68B1DB1-Normal6">
    <w:name w:val="P68B1DB1-Normal6"/>
    <w:basedOn w:val="Normal"/>
    <w:rPr>
      <w:rFonts w:ascii="Arial" w:eastAsia="Calibri" w:hAnsi="Arial" w:cs="Arial"/>
      <w:b/>
      <w:sz w:val="22"/>
    </w:rPr>
  </w:style>
  <w:style w:type="paragraph" w:customStyle="1" w:styleId="P68B1DB1-Normal7">
    <w:name w:val="P68B1DB1-Normal7"/>
    <w:basedOn w:val="Normal"/>
    <w:rPr>
      <w:rFonts w:ascii="Arial" w:eastAsia="Calibri" w:hAnsi="Arial" w:cs="Arial"/>
      <w:sz w:val="22"/>
    </w:rPr>
  </w:style>
  <w:style w:type="paragraph" w:customStyle="1" w:styleId="P68B1DB1-Normal8">
    <w:name w:val="P68B1DB1-Normal8"/>
    <w:basedOn w:val="Normal"/>
    <w:rPr>
      <w:rFonts w:ascii="Arial" w:hAnsi="Arial" w:cs="Arial"/>
      <w:sz w:val="22"/>
    </w:rPr>
  </w:style>
  <w:style w:type="paragraph" w:customStyle="1" w:styleId="P68B1DB1-ListParagraph9">
    <w:name w:val="P68B1DB1-ListParagraph9"/>
    <w:basedOn w:val="ListParagraph"/>
    <w:rPr>
      <w:rFonts w:ascii="Arial" w:hAnsi="Arial" w:cs="Arial"/>
      <w:sz w:val="22"/>
    </w:rPr>
  </w:style>
  <w:style w:type="paragraph" w:customStyle="1" w:styleId="P68B1DB1-NormalWeb10">
    <w:name w:val="P68B1DB1-NormalWeb10"/>
    <w:basedOn w:val="NormalWeb"/>
    <w:rPr>
      <w:rFonts w:ascii="Arial" w:eastAsia="Calibri" w:hAnsi="Arial"/>
      <w:sz w:val="22"/>
      <w:highlight w:val="yellow"/>
    </w:rPr>
  </w:style>
  <w:style w:type="paragraph" w:customStyle="1" w:styleId="P68B1DB1-NormalWeb11">
    <w:name w:val="P68B1DB1-NormalWeb11"/>
    <w:basedOn w:val="NormalWeb"/>
    <w:rPr>
      <w:rFonts w:ascii="Arial" w:hAnsi="Arial" w:cs="Arial"/>
      <w:b/>
      <w:color w:val="000000"/>
      <w:sz w:val="22"/>
    </w:rPr>
  </w:style>
  <w:style w:type="paragraph" w:customStyle="1" w:styleId="P68B1DB1-NormalWeb12">
    <w:name w:val="P68B1DB1-NormalWeb12"/>
    <w:basedOn w:val="NormalWeb"/>
    <w:rPr>
      <w:rFonts w:ascii="Arial" w:hAnsi="Arial" w:cs="Arial"/>
      <w:b/>
      <w:sz w:val="22"/>
    </w:rPr>
  </w:style>
  <w:style w:type="paragraph" w:customStyle="1" w:styleId="P68B1DB1-NormalWeb13">
    <w:name w:val="P68B1DB1-NormalWeb13"/>
    <w:basedOn w:val="NormalWe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87067">
      <w:bodyDiv w:val="1"/>
      <w:marLeft w:val="0"/>
      <w:marRight w:val="0"/>
      <w:marTop w:val="0"/>
      <w:marBottom w:val="0"/>
      <w:divBdr>
        <w:top w:val="none" w:sz="0" w:space="0" w:color="auto"/>
        <w:left w:val="none" w:sz="0" w:space="0" w:color="auto"/>
        <w:bottom w:val="none" w:sz="0" w:space="0" w:color="auto"/>
        <w:right w:val="none" w:sz="0" w:space="0" w:color="auto"/>
      </w:divBdr>
    </w:div>
    <w:div w:id="19602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cnpd.lu" TargetMode="External"/><Relationship Id="rId4" Type="http://schemas.openxmlformats.org/officeDocument/2006/relationships/settings" Target="settings.xml"/><Relationship Id="rId9" Type="http://schemas.openxmlformats.org/officeDocument/2006/relationships/hyperlink" Target="mailto:info@cnpd.lu" TargetMode="Externa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1E00F-4E9C-445C-973C-CBB511EE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Wecker</dc:creator>
  <cp:keywords/>
  <dc:description/>
  <cp:lastModifiedBy>Myriam Wecker</cp:lastModifiedBy>
  <cp:revision>6</cp:revision>
  <dcterms:created xsi:type="dcterms:W3CDTF">2023-10-02T12:55:00Z</dcterms:created>
  <dcterms:modified xsi:type="dcterms:W3CDTF">2023-10-02T13:46:00Z</dcterms:modified>
</cp:coreProperties>
</file>